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588E9" w14:textId="05D62388" w:rsidR="00BF74E2" w:rsidRDefault="001B2664">
      <w:pPr>
        <w:pStyle w:val="CuerpoA"/>
        <w:rPr>
          <w:rStyle w:val="Ninguno"/>
          <w:b/>
          <w:bCs/>
          <w:sz w:val="28"/>
          <w:szCs w:val="28"/>
        </w:rPr>
      </w:pPr>
      <w:bookmarkStart w:id="0" w:name="_GoBack"/>
      <w:bookmarkEnd w:id="0"/>
      <w:r>
        <w:rPr>
          <w:rStyle w:val="Ninguno"/>
          <w:b/>
          <w:bCs/>
          <w:sz w:val="28"/>
          <w:szCs w:val="28"/>
        </w:rPr>
        <w:t>NOTA DE PRENSA</w:t>
      </w:r>
    </w:p>
    <w:p w14:paraId="6FC92487" w14:textId="0E86AEE7" w:rsidR="00BF74E2" w:rsidRDefault="001B2664" w:rsidP="00DA549E">
      <w:pPr>
        <w:pStyle w:val="CuerpoA"/>
        <w:jc w:val="center"/>
      </w:pPr>
      <w:r>
        <w:rPr>
          <w:rStyle w:val="Ninguno"/>
          <w:noProof/>
          <w:lang w:val="es-ES"/>
        </w:rPr>
        <w:drawing>
          <wp:anchor distT="57150" distB="57150" distL="57150" distR="57150" simplePos="0" relativeHeight="251658240" behindDoc="0" locked="0" layoutInCell="1" allowOverlap="1" wp14:anchorId="1FD14EB1" wp14:editId="66B8F76D">
            <wp:simplePos x="0" y="0"/>
            <wp:positionH relativeFrom="column">
              <wp:posOffset>2968625</wp:posOffset>
            </wp:positionH>
            <wp:positionV relativeFrom="line">
              <wp:posOffset>67310</wp:posOffset>
            </wp:positionV>
            <wp:extent cx="2028825" cy="828675"/>
            <wp:effectExtent l="0" t="0" r="3175" b="0"/>
            <wp:wrapSquare wrapText="bothSides" distT="57150" distB="57150" distL="57150" distR="57150"/>
            <wp:docPr id="1073741825" name="officeArt object" descr="Text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xtoEl contenido generado por IA puede ser incorrecto." descr="Texto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28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noProof/>
          <w:lang w:val="es-ES"/>
        </w:rPr>
        <w:drawing>
          <wp:inline distT="0" distB="0" distL="0" distR="0" wp14:anchorId="01649918" wp14:editId="0B51E7DE">
            <wp:extent cx="1762371" cy="790686"/>
            <wp:effectExtent l="0" t="0" r="0" b="0"/>
            <wp:docPr id="1073741826" name="officeArt object" descr="Imagen que contiene For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 que contiene FormaEl contenido generado por IA puede ser incorrecto." descr="Imagen que contiene Forma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7906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325C55" w:rsidRPr="00325C55">
        <w:t xml:space="preserve"> </w:t>
      </w:r>
    </w:p>
    <w:p w14:paraId="00AB937E" w14:textId="7ABDB8FB" w:rsidR="00DA549E" w:rsidRDefault="00DA549E" w:rsidP="00DA549E">
      <w:pPr>
        <w:pStyle w:val="CuerpoA"/>
        <w:jc w:val="center"/>
        <w:rPr>
          <w:rStyle w:val="Ninguno"/>
          <w:rFonts w:ascii="Calibri" w:hAnsi="Calibri" w:cs="Calibri"/>
        </w:rPr>
      </w:pPr>
    </w:p>
    <w:p w14:paraId="58EA0152" w14:textId="73B7F688" w:rsidR="00EB6EB0" w:rsidRDefault="00ED181E" w:rsidP="00EB6EB0">
      <w:pPr>
        <w:pStyle w:val="NormalWeb"/>
        <w:ind w:left="720"/>
        <w:jc w:val="center"/>
        <w:rPr>
          <w:rFonts w:ascii="Arial" w:hAnsi="Arial" w:cs="Arial"/>
          <w:b/>
          <w:bCs/>
          <w:sz w:val="30"/>
          <w:szCs w:val="30"/>
          <w:lang w:val="es-ES"/>
        </w:rPr>
      </w:pPr>
      <w:r>
        <w:rPr>
          <w:rFonts w:ascii="Arial" w:hAnsi="Arial" w:cs="Arial"/>
          <w:b/>
          <w:bCs/>
          <w:sz w:val="30"/>
          <w:szCs w:val="30"/>
          <w:lang w:val="es-ES"/>
        </w:rPr>
        <w:t>“</w:t>
      </w:r>
      <w:r w:rsidR="00EB6EB0">
        <w:rPr>
          <w:rFonts w:ascii="Arial" w:hAnsi="Arial" w:cs="Arial"/>
          <w:b/>
          <w:bCs/>
          <w:sz w:val="30"/>
          <w:szCs w:val="30"/>
          <w:lang w:val="es-ES"/>
        </w:rPr>
        <w:t>La industria alimentaria avanzará más en los próximos 5 años que durante los últimos 15</w:t>
      </w:r>
      <w:r>
        <w:rPr>
          <w:rFonts w:ascii="Arial" w:hAnsi="Arial" w:cs="Arial"/>
          <w:b/>
          <w:bCs/>
          <w:sz w:val="30"/>
          <w:szCs w:val="30"/>
          <w:lang w:val="es-ES"/>
        </w:rPr>
        <w:t>”</w:t>
      </w:r>
    </w:p>
    <w:p w14:paraId="6E2B0B8C" w14:textId="77777777" w:rsidR="00F751FE" w:rsidRDefault="00F751FE" w:rsidP="00F751FE">
      <w:pPr>
        <w:pStyle w:val="NormalWeb"/>
        <w:jc w:val="both"/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</w:pPr>
    </w:p>
    <w:p w14:paraId="00F6988F" w14:textId="77777777" w:rsidR="002A1477" w:rsidRDefault="002A1477" w:rsidP="00F751FE">
      <w:pPr>
        <w:pStyle w:val="NormalWeb"/>
        <w:jc w:val="both"/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</w:pPr>
    </w:p>
    <w:p w14:paraId="1711A153" w14:textId="59D1D748" w:rsidR="00DA696F" w:rsidRDefault="00F751FE" w:rsidP="00B43670">
      <w:pPr>
        <w:pStyle w:val="NormalWeb"/>
        <w:numPr>
          <w:ilvl w:val="0"/>
          <w:numId w:val="13"/>
        </w:numPr>
        <w:jc w:val="both"/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</w:pPr>
      <w:proofErr w:type="spellStart"/>
      <w:r w:rsidRPr="00F751FE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Agrifood</w:t>
      </w:r>
      <w:proofErr w:type="spellEnd"/>
      <w:r w:rsidRPr="00F751FE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 xml:space="preserve"> Comunicación </w:t>
      </w:r>
      <w:r w:rsidR="00465CBB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 xml:space="preserve">reunió </w:t>
      </w:r>
      <w:r w:rsidR="00382B96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a representantes de l</w:t>
      </w:r>
      <w:r w:rsidR="00DA696F" w:rsidRPr="00DA696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 xml:space="preserve">a Administración, empresas y agentes de innovación en un nuevo </w:t>
      </w:r>
      <w:proofErr w:type="spellStart"/>
      <w:r w:rsidR="00DA696F" w:rsidRPr="00DA696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Agrifood</w:t>
      </w:r>
      <w:proofErr w:type="spellEnd"/>
      <w:r w:rsidR="00DA696F" w:rsidRPr="00DA696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 xml:space="preserve"> </w:t>
      </w:r>
      <w:proofErr w:type="spellStart"/>
      <w:r w:rsidR="00DA696F" w:rsidRPr="00DA696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Talks</w:t>
      </w:r>
      <w:proofErr w:type="spellEnd"/>
      <w:r w:rsidR="00DA696F" w:rsidRPr="00DA696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 xml:space="preserve"> para fijar la hoja de ruta del sector</w:t>
      </w:r>
    </w:p>
    <w:p w14:paraId="75E52D4C" w14:textId="77777777" w:rsidR="00DA696F" w:rsidRPr="00DA696F" w:rsidRDefault="00DA696F" w:rsidP="00DA696F">
      <w:pPr>
        <w:pStyle w:val="NormalWeb"/>
        <w:ind w:left="720"/>
        <w:jc w:val="both"/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</w:pPr>
    </w:p>
    <w:p w14:paraId="351EE32B" w14:textId="0FF13F35" w:rsidR="004F66DB" w:rsidRPr="00ED181E" w:rsidRDefault="00DA696F" w:rsidP="00DA696F">
      <w:pPr>
        <w:pStyle w:val="NormalWeb"/>
        <w:numPr>
          <w:ilvl w:val="0"/>
          <w:numId w:val="13"/>
        </w:numPr>
        <w:jc w:val="both"/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</w:pPr>
      <w:r w:rsidRPr="00ED181E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 xml:space="preserve">En los últimos 15 años, la industria alimentaria española ha ganado tamaño, exportaciones, eficiencia y seguridad alimentaria, mostrando </w:t>
      </w:r>
      <w:proofErr w:type="spellStart"/>
      <w:r w:rsidRPr="00ED181E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resiliencia</w:t>
      </w:r>
      <w:proofErr w:type="spellEnd"/>
      <w:r w:rsidRPr="00ED181E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 xml:space="preserve"> y consolidando liderazgo europeo</w:t>
      </w:r>
    </w:p>
    <w:p w14:paraId="0FD47726" w14:textId="77777777" w:rsidR="00DA696F" w:rsidRPr="00872610" w:rsidRDefault="00DA696F" w:rsidP="00DA696F">
      <w:pPr>
        <w:pStyle w:val="NormalWeb"/>
        <w:jc w:val="both"/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</w:pPr>
    </w:p>
    <w:p w14:paraId="39E90CD8" w14:textId="11BBD454" w:rsidR="00DA696F" w:rsidRPr="00DA696F" w:rsidRDefault="00DA696F" w:rsidP="00DA696F">
      <w:pPr>
        <w:pStyle w:val="NormalWeb"/>
        <w:numPr>
          <w:ilvl w:val="0"/>
          <w:numId w:val="13"/>
        </w:numPr>
        <w:jc w:val="both"/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</w:pPr>
      <w:r w:rsidRPr="00DA696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Ahora el sector encara un nuevo ciclo en el que avanzará más que en la última década y media, con foco en la digitalización de retorno rápido, trazabilidad total, métricas ESG homologadas, innovación y circularidad, y consolidación exterior con indicadores verificables</w:t>
      </w:r>
    </w:p>
    <w:p w14:paraId="23B4EC0E" w14:textId="77777777" w:rsidR="00DA696F" w:rsidRPr="00BA0A18" w:rsidRDefault="00DA696F" w:rsidP="001B4983">
      <w:pPr>
        <w:pStyle w:val="NormalWeb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s-ES" w:eastAsia="es-ES"/>
        </w:rPr>
      </w:pPr>
    </w:p>
    <w:p w14:paraId="16F40D29" w14:textId="0579B28D" w:rsidR="00F751FE" w:rsidRPr="00F751FE" w:rsidRDefault="001B2664" w:rsidP="00F751FE">
      <w:pPr>
        <w:pStyle w:val="NormalWeb"/>
        <w:jc w:val="both"/>
        <w:rPr>
          <w:rFonts w:ascii="Calibri" w:hAnsi="Calibri" w:cs="Calibri"/>
          <w:lang w:val="es-ES"/>
        </w:rPr>
      </w:pPr>
      <w:r w:rsidRPr="00BA0A18">
        <w:rPr>
          <w:rStyle w:val="Ninguno"/>
          <w:rFonts w:ascii="Calibri" w:hAnsi="Calibri" w:cs="Calibri"/>
          <w:b/>
          <w:bCs/>
        </w:rPr>
        <w:t xml:space="preserve">Madrid, </w:t>
      </w:r>
      <w:r w:rsidR="00ED181E">
        <w:rPr>
          <w:rStyle w:val="Ninguno"/>
          <w:rFonts w:ascii="Calibri" w:hAnsi="Calibri" w:cs="Calibri"/>
          <w:b/>
          <w:bCs/>
        </w:rPr>
        <w:t>3</w:t>
      </w:r>
      <w:r w:rsidRPr="00BA0A18">
        <w:rPr>
          <w:rStyle w:val="Ninguno"/>
          <w:rFonts w:ascii="Calibri" w:hAnsi="Calibri" w:cs="Calibri"/>
          <w:b/>
          <w:bCs/>
        </w:rPr>
        <w:t xml:space="preserve"> de </w:t>
      </w:r>
      <w:r w:rsidR="00752C7C">
        <w:rPr>
          <w:rStyle w:val="Ninguno"/>
          <w:rFonts w:ascii="Calibri" w:hAnsi="Calibri" w:cs="Calibri"/>
          <w:b/>
          <w:bCs/>
        </w:rPr>
        <w:t>noviembre</w:t>
      </w:r>
      <w:r w:rsidRPr="00BA0A18">
        <w:rPr>
          <w:rStyle w:val="Ninguno"/>
          <w:rFonts w:ascii="Calibri" w:hAnsi="Calibri" w:cs="Calibri"/>
          <w:b/>
          <w:bCs/>
        </w:rPr>
        <w:t xml:space="preserve"> de 2025.-</w:t>
      </w:r>
      <w:r w:rsidR="006C02C3" w:rsidRPr="00BA0A18">
        <w:rPr>
          <w:rStyle w:val="Ninguno"/>
          <w:rFonts w:ascii="Calibri" w:hAnsi="Calibri" w:cs="Calibri"/>
          <w:lang w:val="it-IT"/>
        </w:rPr>
        <w:t xml:space="preserve"> </w:t>
      </w:r>
      <w:r w:rsidR="00F751FE" w:rsidRPr="00F751FE">
        <w:rPr>
          <w:rFonts w:ascii="Calibri" w:hAnsi="Calibri" w:cs="Calibri"/>
          <w:lang w:val="es-ES"/>
        </w:rPr>
        <w:t xml:space="preserve">Bajo el título </w:t>
      </w:r>
      <w:r w:rsidR="00F751FE" w:rsidRPr="00F751FE">
        <w:rPr>
          <w:rFonts w:ascii="Calibri" w:hAnsi="Calibri" w:cs="Calibri"/>
          <w:b/>
          <w:bCs/>
          <w:lang w:val="es-ES"/>
        </w:rPr>
        <w:t>“La Industria Alimentaria: 15 años alimentando el mundo”</w:t>
      </w:r>
      <w:r w:rsidR="00F751FE" w:rsidRPr="00F751FE">
        <w:rPr>
          <w:rFonts w:ascii="Calibri" w:hAnsi="Calibri" w:cs="Calibri"/>
          <w:lang w:val="es-ES"/>
        </w:rPr>
        <w:t xml:space="preserve">, </w:t>
      </w:r>
      <w:proofErr w:type="spellStart"/>
      <w:r w:rsidR="00F751FE" w:rsidRPr="00F751FE">
        <w:rPr>
          <w:rFonts w:ascii="Calibri" w:hAnsi="Calibri" w:cs="Calibri"/>
          <w:lang w:val="es-ES"/>
        </w:rPr>
        <w:t>Agrifood</w:t>
      </w:r>
      <w:proofErr w:type="spellEnd"/>
      <w:r w:rsidR="00F751FE" w:rsidRPr="00F751FE">
        <w:rPr>
          <w:rFonts w:ascii="Calibri" w:hAnsi="Calibri" w:cs="Calibri"/>
          <w:lang w:val="es-ES"/>
        </w:rPr>
        <w:t xml:space="preserve"> Comunicación</w:t>
      </w:r>
      <w:r w:rsidR="00465CBB">
        <w:rPr>
          <w:rFonts w:ascii="Calibri" w:hAnsi="Calibri" w:cs="Calibri"/>
          <w:lang w:val="es-ES"/>
        </w:rPr>
        <w:t xml:space="preserve"> </w:t>
      </w:r>
      <w:r w:rsidR="00F751FE" w:rsidRPr="00F751FE">
        <w:rPr>
          <w:rFonts w:ascii="Calibri" w:hAnsi="Calibri" w:cs="Calibri"/>
          <w:lang w:val="es-ES"/>
        </w:rPr>
        <w:t xml:space="preserve">celebró en Madrid una nueva edición de </w:t>
      </w:r>
      <w:proofErr w:type="spellStart"/>
      <w:r w:rsidR="00F751FE" w:rsidRPr="00F751FE">
        <w:rPr>
          <w:rFonts w:ascii="Calibri" w:hAnsi="Calibri" w:cs="Calibri"/>
          <w:b/>
          <w:bCs/>
          <w:lang w:val="es-ES"/>
        </w:rPr>
        <w:t>Agrifood</w:t>
      </w:r>
      <w:proofErr w:type="spellEnd"/>
      <w:r w:rsidR="00F751FE" w:rsidRPr="00F751FE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="00F751FE" w:rsidRPr="00F751FE">
        <w:rPr>
          <w:rFonts w:ascii="Calibri" w:hAnsi="Calibri" w:cs="Calibri"/>
          <w:b/>
          <w:bCs/>
          <w:lang w:val="es-ES"/>
        </w:rPr>
        <w:t>Talks</w:t>
      </w:r>
      <w:proofErr w:type="spellEnd"/>
      <w:r w:rsidR="00F751FE" w:rsidRPr="00F751FE">
        <w:rPr>
          <w:rFonts w:ascii="Calibri" w:hAnsi="Calibri" w:cs="Calibri"/>
          <w:lang w:val="es-ES"/>
        </w:rPr>
        <w:t xml:space="preserve">. El encuentro analizó la evolución del sector en la última década y media y fijó los vectores que marcarán su futuro inmediato: </w:t>
      </w:r>
      <w:r w:rsidR="00F751FE" w:rsidRPr="00F751FE">
        <w:rPr>
          <w:rFonts w:ascii="Calibri" w:hAnsi="Calibri" w:cs="Calibri"/>
          <w:b/>
          <w:bCs/>
          <w:lang w:val="es-ES"/>
        </w:rPr>
        <w:t>innovación, digitalización, internacionalización y reputación</w:t>
      </w:r>
      <w:r w:rsidR="00F751FE" w:rsidRPr="00F751FE">
        <w:rPr>
          <w:rFonts w:ascii="Calibri" w:hAnsi="Calibri" w:cs="Calibri"/>
          <w:lang w:val="es-ES"/>
        </w:rPr>
        <w:t>.</w:t>
      </w:r>
    </w:p>
    <w:p w14:paraId="720E9B5D" w14:textId="77777777" w:rsidR="00F751FE" w:rsidRDefault="00F751FE" w:rsidP="00F751FE">
      <w:pPr>
        <w:pStyle w:val="NormalWeb"/>
        <w:jc w:val="both"/>
        <w:rPr>
          <w:rFonts w:ascii="Calibri" w:hAnsi="Calibri" w:cs="Calibri"/>
          <w:b/>
          <w:bCs/>
          <w:lang w:val="es-ES"/>
        </w:rPr>
      </w:pPr>
    </w:p>
    <w:p w14:paraId="2BA9A60D" w14:textId="020E1A2B" w:rsidR="00F751FE" w:rsidRPr="00F751FE" w:rsidRDefault="00F751FE" w:rsidP="00F751FE">
      <w:pPr>
        <w:pStyle w:val="NormalWeb"/>
        <w:jc w:val="both"/>
        <w:rPr>
          <w:rFonts w:ascii="Calibri" w:hAnsi="Calibri" w:cs="Calibri"/>
          <w:lang w:val="es-ES"/>
        </w:rPr>
      </w:pPr>
      <w:r w:rsidRPr="00F751FE">
        <w:rPr>
          <w:rFonts w:ascii="Calibri" w:hAnsi="Calibri" w:cs="Calibri"/>
          <w:b/>
          <w:bCs/>
          <w:lang w:val="es-ES"/>
        </w:rPr>
        <w:t>Clemente Mata Tapia</w:t>
      </w:r>
      <w:r w:rsidRPr="00F751FE">
        <w:rPr>
          <w:rFonts w:ascii="Calibri" w:hAnsi="Calibri" w:cs="Calibri"/>
          <w:lang w:val="es-ES"/>
        </w:rPr>
        <w:t>, subdirector general de Competitividad de la Cadena Alimentaria (MAPA), inauguró la jornada subrayando el compromiso del Ministerio con la innovación, la formación y la sostenibilidad como ejes estratégicos de la industria alimentaria española.</w:t>
      </w:r>
    </w:p>
    <w:p w14:paraId="14C02B9C" w14:textId="77777777" w:rsidR="00A25DC1" w:rsidRDefault="00A25DC1" w:rsidP="000E1FBC">
      <w:pPr>
        <w:pStyle w:val="NormalWeb"/>
        <w:jc w:val="both"/>
        <w:rPr>
          <w:rFonts w:ascii="Calibri" w:hAnsi="Calibri" w:cs="Calibri"/>
          <w:lang w:val="es-ES"/>
        </w:rPr>
      </w:pPr>
    </w:p>
    <w:p w14:paraId="0E705E49" w14:textId="77777777" w:rsidR="00465CBB" w:rsidRDefault="00F751FE" w:rsidP="00F751FE">
      <w:pPr>
        <w:pStyle w:val="NormalWeb"/>
        <w:jc w:val="both"/>
        <w:rPr>
          <w:rFonts w:ascii="Calibri" w:hAnsi="Calibri" w:cs="Calibri"/>
        </w:rPr>
      </w:pPr>
      <w:r w:rsidRPr="00F751FE">
        <w:rPr>
          <w:rFonts w:ascii="Calibri" w:hAnsi="Calibri" w:cs="Calibri"/>
          <w:lang w:val="es-ES"/>
        </w:rPr>
        <w:t xml:space="preserve">A continuación, </w:t>
      </w:r>
      <w:r w:rsidRPr="00F751FE">
        <w:rPr>
          <w:rFonts w:ascii="Calibri" w:hAnsi="Calibri" w:cs="Calibri"/>
          <w:b/>
          <w:bCs/>
          <w:lang w:val="es-ES"/>
        </w:rPr>
        <w:t>Mauricio García de Quevedo</w:t>
      </w:r>
      <w:r w:rsidRPr="00F751FE">
        <w:rPr>
          <w:rFonts w:ascii="Calibri" w:hAnsi="Calibri" w:cs="Calibri"/>
          <w:lang w:val="es-ES"/>
        </w:rPr>
        <w:t xml:space="preserve">, director general de </w:t>
      </w:r>
      <w:r w:rsidRPr="00F751FE">
        <w:rPr>
          <w:rFonts w:ascii="Calibri" w:hAnsi="Calibri" w:cs="Calibri"/>
          <w:b/>
          <w:bCs/>
          <w:lang w:val="es-ES"/>
        </w:rPr>
        <w:t>FIAB</w:t>
      </w:r>
      <w:r w:rsidR="00465CBB">
        <w:rPr>
          <w:rFonts w:ascii="Calibri" w:hAnsi="Calibri" w:cs="Calibri"/>
          <w:lang w:val="es-ES"/>
        </w:rPr>
        <w:t xml:space="preserve">, </w:t>
      </w:r>
      <w:proofErr w:type="spellStart"/>
      <w:r w:rsidR="00465CBB">
        <w:rPr>
          <w:rFonts w:ascii="Calibri" w:hAnsi="Calibri" w:cs="Calibri"/>
        </w:rPr>
        <w:t>analizó</w:t>
      </w:r>
      <w:proofErr w:type="spellEnd"/>
      <w:r w:rsidR="00465CBB">
        <w:rPr>
          <w:rFonts w:ascii="Calibri" w:hAnsi="Calibri" w:cs="Calibri"/>
        </w:rPr>
        <w:t xml:space="preserve"> </w:t>
      </w:r>
      <w:r w:rsidR="00465CBB" w:rsidRPr="00465CBB">
        <w:rPr>
          <w:rFonts w:ascii="Calibri" w:hAnsi="Calibri" w:cs="Calibri"/>
        </w:rPr>
        <w:t xml:space="preserve">la </w:t>
      </w:r>
      <w:proofErr w:type="spellStart"/>
      <w:r w:rsidR="00465CBB" w:rsidRPr="00465CBB">
        <w:rPr>
          <w:rFonts w:ascii="Calibri" w:hAnsi="Calibri" w:cs="Calibri"/>
        </w:rPr>
        <w:t>transformación</w:t>
      </w:r>
      <w:proofErr w:type="spellEnd"/>
      <w:r w:rsidR="00465CBB" w:rsidRPr="00465CBB">
        <w:rPr>
          <w:rFonts w:ascii="Calibri" w:hAnsi="Calibri" w:cs="Calibri"/>
        </w:rPr>
        <w:t xml:space="preserve"> </w:t>
      </w:r>
      <w:proofErr w:type="spellStart"/>
      <w:r w:rsidR="00465CBB" w:rsidRPr="00465CBB">
        <w:rPr>
          <w:rFonts w:ascii="Calibri" w:hAnsi="Calibri" w:cs="Calibri"/>
        </w:rPr>
        <w:t>experimentada</w:t>
      </w:r>
      <w:proofErr w:type="spellEnd"/>
      <w:r w:rsidR="00465CBB" w:rsidRPr="00465CBB">
        <w:rPr>
          <w:rFonts w:ascii="Calibri" w:hAnsi="Calibri" w:cs="Calibri"/>
        </w:rPr>
        <w:t xml:space="preserve"> </w:t>
      </w:r>
      <w:proofErr w:type="spellStart"/>
      <w:r w:rsidR="00465CBB" w:rsidRPr="00465CBB">
        <w:rPr>
          <w:rFonts w:ascii="Calibri" w:hAnsi="Calibri" w:cs="Calibri"/>
        </w:rPr>
        <w:t>por</w:t>
      </w:r>
      <w:proofErr w:type="spellEnd"/>
      <w:r w:rsidR="00465CBB" w:rsidRPr="00465CBB">
        <w:rPr>
          <w:rFonts w:ascii="Calibri" w:hAnsi="Calibri" w:cs="Calibri"/>
        </w:rPr>
        <w:t xml:space="preserve"> la </w:t>
      </w:r>
      <w:proofErr w:type="spellStart"/>
      <w:r w:rsidR="00465CBB" w:rsidRPr="00465CBB">
        <w:rPr>
          <w:rFonts w:ascii="Calibri" w:hAnsi="Calibri" w:cs="Calibri"/>
        </w:rPr>
        <w:t>industria</w:t>
      </w:r>
      <w:proofErr w:type="spellEnd"/>
      <w:r w:rsidR="00465CBB" w:rsidRPr="00465CBB">
        <w:rPr>
          <w:rFonts w:ascii="Calibri" w:hAnsi="Calibri" w:cs="Calibri"/>
        </w:rPr>
        <w:t xml:space="preserve"> </w:t>
      </w:r>
      <w:proofErr w:type="spellStart"/>
      <w:r w:rsidR="00465CBB" w:rsidRPr="00465CBB">
        <w:rPr>
          <w:rFonts w:ascii="Calibri" w:hAnsi="Calibri" w:cs="Calibri"/>
        </w:rPr>
        <w:t>española</w:t>
      </w:r>
      <w:proofErr w:type="spellEnd"/>
      <w:r w:rsidR="00465CBB" w:rsidRPr="00465CBB">
        <w:rPr>
          <w:rFonts w:ascii="Calibri" w:hAnsi="Calibri" w:cs="Calibri"/>
        </w:rPr>
        <w:t xml:space="preserve"> de </w:t>
      </w:r>
      <w:proofErr w:type="spellStart"/>
      <w:r w:rsidR="00465CBB" w:rsidRPr="00465CBB">
        <w:rPr>
          <w:rFonts w:ascii="Calibri" w:hAnsi="Calibri" w:cs="Calibri"/>
        </w:rPr>
        <w:t>alimentación</w:t>
      </w:r>
      <w:proofErr w:type="spellEnd"/>
      <w:r w:rsidR="00465CBB" w:rsidRPr="00465CBB">
        <w:rPr>
          <w:rFonts w:ascii="Calibri" w:hAnsi="Calibri" w:cs="Calibri"/>
        </w:rPr>
        <w:t xml:space="preserve"> y </w:t>
      </w:r>
      <w:proofErr w:type="spellStart"/>
      <w:r w:rsidR="00465CBB" w:rsidRPr="00465CBB">
        <w:rPr>
          <w:rFonts w:ascii="Calibri" w:hAnsi="Calibri" w:cs="Calibri"/>
        </w:rPr>
        <w:t>bebidas</w:t>
      </w:r>
      <w:proofErr w:type="spellEnd"/>
      <w:r w:rsidR="00465CBB" w:rsidRPr="00465CBB">
        <w:rPr>
          <w:rFonts w:ascii="Calibri" w:hAnsi="Calibri" w:cs="Calibri"/>
        </w:rPr>
        <w:t xml:space="preserve"> </w:t>
      </w:r>
      <w:proofErr w:type="spellStart"/>
      <w:r w:rsidR="00465CBB" w:rsidRPr="00465CBB">
        <w:rPr>
          <w:rFonts w:ascii="Calibri" w:hAnsi="Calibri" w:cs="Calibri"/>
        </w:rPr>
        <w:t>durante</w:t>
      </w:r>
      <w:proofErr w:type="spellEnd"/>
      <w:r w:rsidR="00465CBB" w:rsidRPr="00465CBB">
        <w:rPr>
          <w:rFonts w:ascii="Calibri" w:hAnsi="Calibri" w:cs="Calibri"/>
        </w:rPr>
        <w:t xml:space="preserve"> los </w:t>
      </w:r>
      <w:proofErr w:type="spellStart"/>
      <w:r w:rsidR="00465CBB" w:rsidRPr="00465CBB">
        <w:rPr>
          <w:rFonts w:ascii="Calibri" w:hAnsi="Calibri" w:cs="Calibri"/>
        </w:rPr>
        <w:t>últimos</w:t>
      </w:r>
      <w:proofErr w:type="spellEnd"/>
      <w:r w:rsidR="00465CBB" w:rsidRPr="00465CBB">
        <w:rPr>
          <w:rFonts w:ascii="Calibri" w:hAnsi="Calibri" w:cs="Calibri"/>
        </w:rPr>
        <w:t xml:space="preserve"> 15 </w:t>
      </w:r>
      <w:proofErr w:type="spellStart"/>
      <w:r w:rsidR="00465CBB" w:rsidRPr="00465CBB">
        <w:rPr>
          <w:rFonts w:ascii="Calibri" w:hAnsi="Calibri" w:cs="Calibri"/>
        </w:rPr>
        <w:t>años</w:t>
      </w:r>
      <w:proofErr w:type="spellEnd"/>
      <w:r w:rsidR="00465CBB" w:rsidRPr="00465CBB">
        <w:rPr>
          <w:rFonts w:ascii="Calibri" w:hAnsi="Calibri" w:cs="Calibri"/>
        </w:rPr>
        <w:t xml:space="preserve">. </w:t>
      </w:r>
    </w:p>
    <w:p w14:paraId="623F1172" w14:textId="77777777" w:rsidR="00465CBB" w:rsidRDefault="00465CBB" w:rsidP="00F751FE">
      <w:pPr>
        <w:pStyle w:val="NormalWeb"/>
        <w:jc w:val="both"/>
        <w:rPr>
          <w:rFonts w:ascii="Calibri" w:hAnsi="Calibri" w:cs="Calibri"/>
        </w:rPr>
      </w:pPr>
    </w:p>
    <w:p w14:paraId="1D3A8B97" w14:textId="6F55113A" w:rsidR="00465CBB" w:rsidRDefault="00465CBB" w:rsidP="00F751FE">
      <w:pPr>
        <w:pStyle w:val="NormalWeb"/>
        <w:jc w:val="both"/>
        <w:rPr>
          <w:rFonts w:ascii="Calibri" w:hAnsi="Calibri" w:cs="Calibri"/>
          <w:lang w:val="es-ES"/>
        </w:rPr>
      </w:pPr>
      <w:proofErr w:type="gramStart"/>
      <w:r w:rsidRPr="00465CBB">
        <w:rPr>
          <w:rFonts w:ascii="Calibri" w:hAnsi="Calibri" w:cs="Calibri"/>
        </w:rPr>
        <w:t>“</w:t>
      </w:r>
      <w:proofErr w:type="spellStart"/>
      <w:r w:rsidRPr="00465CBB">
        <w:rPr>
          <w:rFonts w:ascii="Calibri" w:hAnsi="Calibri" w:cs="Calibri"/>
        </w:rPr>
        <w:t>Hemos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superado</w:t>
      </w:r>
      <w:proofErr w:type="spellEnd"/>
      <w:r w:rsidRPr="00465CBB">
        <w:rPr>
          <w:rFonts w:ascii="Calibri" w:hAnsi="Calibri" w:cs="Calibri"/>
        </w:rPr>
        <w:t xml:space="preserve"> crisis </w:t>
      </w:r>
      <w:proofErr w:type="spellStart"/>
      <w:r w:rsidRPr="00465CBB">
        <w:rPr>
          <w:rFonts w:ascii="Calibri" w:hAnsi="Calibri" w:cs="Calibri"/>
        </w:rPr>
        <w:t>financieras</w:t>
      </w:r>
      <w:proofErr w:type="spellEnd"/>
      <w:r w:rsidRPr="00465CBB">
        <w:rPr>
          <w:rFonts w:ascii="Calibri" w:hAnsi="Calibri" w:cs="Calibri"/>
        </w:rPr>
        <w:t xml:space="preserve">, </w:t>
      </w:r>
      <w:proofErr w:type="spellStart"/>
      <w:r w:rsidRPr="00465CBB">
        <w:rPr>
          <w:rFonts w:ascii="Calibri" w:hAnsi="Calibri" w:cs="Calibri"/>
        </w:rPr>
        <w:t>una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pandemia</w:t>
      </w:r>
      <w:proofErr w:type="spellEnd"/>
      <w:r w:rsidRPr="00465CBB">
        <w:rPr>
          <w:rFonts w:ascii="Calibri" w:hAnsi="Calibri" w:cs="Calibri"/>
        </w:rPr>
        <w:t xml:space="preserve"> global y un </w:t>
      </w:r>
      <w:proofErr w:type="spellStart"/>
      <w:r w:rsidRPr="00465CBB">
        <w:rPr>
          <w:rFonts w:ascii="Calibri" w:hAnsi="Calibri" w:cs="Calibri"/>
        </w:rPr>
        <w:t>escenario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geopolítico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incierto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que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puso</w:t>
      </w:r>
      <w:proofErr w:type="spellEnd"/>
      <w:r w:rsidRPr="00465CBB">
        <w:rPr>
          <w:rFonts w:ascii="Calibri" w:hAnsi="Calibri" w:cs="Calibri"/>
        </w:rPr>
        <w:t xml:space="preserve"> a </w:t>
      </w:r>
      <w:proofErr w:type="spellStart"/>
      <w:r w:rsidRPr="00465CBB">
        <w:rPr>
          <w:rFonts w:ascii="Calibri" w:hAnsi="Calibri" w:cs="Calibri"/>
        </w:rPr>
        <w:t>prueba</w:t>
      </w:r>
      <w:proofErr w:type="spellEnd"/>
      <w:r w:rsidRPr="00465CBB">
        <w:rPr>
          <w:rFonts w:ascii="Calibri" w:hAnsi="Calibri" w:cs="Calibri"/>
        </w:rPr>
        <w:t xml:space="preserve"> la </w:t>
      </w:r>
      <w:proofErr w:type="spellStart"/>
      <w:r w:rsidRPr="00465CBB">
        <w:rPr>
          <w:rFonts w:ascii="Calibri" w:hAnsi="Calibri" w:cs="Calibri"/>
        </w:rPr>
        <w:t>solidez</w:t>
      </w:r>
      <w:proofErr w:type="spellEnd"/>
      <w:r w:rsidRPr="00465CBB">
        <w:rPr>
          <w:rFonts w:ascii="Calibri" w:hAnsi="Calibri" w:cs="Calibri"/>
        </w:rPr>
        <w:t xml:space="preserve"> de </w:t>
      </w:r>
      <w:proofErr w:type="spellStart"/>
      <w:r w:rsidRPr="00465CBB">
        <w:rPr>
          <w:rFonts w:ascii="Calibri" w:hAnsi="Calibri" w:cs="Calibri"/>
        </w:rPr>
        <w:t>las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cadenas</w:t>
      </w:r>
      <w:proofErr w:type="spellEnd"/>
      <w:r w:rsidRPr="00465CBB">
        <w:rPr>
          <w:rFonts w:ascii="Calibri" w:hAnsi="Calibri" w:cs="Calibri"/>
        </w:rPr>
        <w:t xml:space="preserve"> de </w:t>
      </w:r>
      <w:proofErr w:type="spellStart"/>
      <w:r w:rsidRPr="00465CBB">
        <w:rPr>
          <w:rFonts w:ascii="Calibri" w:hAnsi="Calibri" w:cs="Calibri"/>
        </w:rPr>
        <w:t>suministro</w:t>
      </w:r>
      <w:proofErr w:type="spellEnd"/>
      <w:r w:rsidRPr="00465CBB">
        <w:rPr>
          <w:rFonts w:ascii="Calibri" w:hAnsi="Calibri" w:cs="Calibri"/>
        </w:rPr>
        <w:t xml:space="preserve"> y la </w:t>
      </w:r>
      <w:proofErr w:type="spellStart"/>
      <w:r w:rsidRPr="00465CBB">
        <w:rPr>
          <w:rFonts w:ascii="Calibri" w:hAnsi="Calibri" w:cs="Calibri"/>
        </w:rPr>
        <w:t>capacidad</w:t>
      </w:r>
      <w:proofErr w:type="spellEnd"/>
      <w:r w:rsidRPr="00465CBB">
        <w:rPr>
          <w:rFonts w:ascii="Calibri" w:hAnsi="Calibri" w:cs="Calibri"/>
        </w:rPr>
        <w:t xml:space="preserve"> de </w:t>
      </w:r>
      <w:proofErr w:type="spellStart"/>
      <w:r w:rsidRPr="00465CBB">
        <w:rPr>
          <w:rFonts w:ascii="Calibri" w:hAnsi="Calibri" w:cs="Calibri"/>
        </w:rPr>
        <w:t>adaptación</w:t>
      </w:r>
      <w:proofErr w:type="spellEnd"/>
      <w:r w:rsidRPr="00465CBB">
        <w:rPr>
          <w:rFonts w:ascii="Calibri" w:hAnsi="Calibri" w:cs="Calibri"/>
        </w:rPr>
        <w:t xml:space="preserve"> de </w:t>
      </w:r>
      <w:proofErr w:type="spellStart"/>
      <w:r w:rsidRPr="00465CBB">
        <w:rPr>
          <w:rFonts w:ascii="Calibri" w:hAnsi="Calibri" w:cs="Calibri"/>
        </w:rPr>
        <w:t>las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empresas</w:t>
      </w:r>
      <w:proofErr w:type="spellEnd"/>
      <w:r w:rsidRPr="00465CBB">
        <w:rPr>
          <w:rFonts w:ascii="Calibri" w:hAnsi="Calibri" w:cs="Calibri"/>
        </w:rPr>
        <w:t>.</w:t>
      </w:r>
      <w:proofErr w:type="gramEnd"/>
      <w:r w:rsidRPr="00465CBB">
        <w:rPr>
          <w:rFonts w:ascii="Calibri" w:hAnsi="Calibri" w:cs="Calibri"/>
        </w:rPr>
        <w:t xml:space="preserve"> </w:t>
      </w:r>
      <w:proofErr w:type="gramStart"/>
      <w:r w:rsidRPr="00465CBB">
        <w:rPr>
          <w:rFonts w:ascii="Calibri" w:hAnsi="Calibri" w:cs="Calibri"/>
        </w:rPr>
        <w:t xml:space="preserve">De </w:t>
      </w:r>
      <w:proofErr w:type="spellStart"/>
      <w:r w:rsidRPr="00465CBB">
        <w:rPr>
          <w:rFonts w:ascii="Calibri" w:hAnsi="Calibri" w:cs="Calibri"/>
        </w:rPr>
        <w:t>aquellos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años</w:t>
      </w:r>
      <w:proofErr w:type="spellEnd"/>
      <w:r w:rsidRPr="00465CBB">
        <w:rPr>
          <w:rFonts w:ascii="Calibri" w:hAnsi="Calibri" w:cs="Calibri"/>
        </w:rPr>
        <w:t xml:space="preserve"> de </w:t>
      </w:r>
      <w:proofErr w:type="spellStart"/>
      <w:r w:rsidRPr="00465CBB">
        <w:rPr>
          <w:rFonts w:ascii="Calibri" w:hAnsi="Calibri" w:cs="Calibri"/>
        </w:rPr>
        <w:t>incertidumbre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emergió</w:t>
      </w:r>
      <w:proofErr w:type="spellEnd"/>
      <w:r w:rsidRPr="00465CBB">
        <w:rPr>
          <w:rFonts w:ascii="Calibri" w:hAnsi="Calibri" w:cs="Calibri"/>
        </w:rPr>
        <w:t xml:space="preserve"> un sector </w:t>
      </w:r>
      <w:proofErr w:type="spellStart"/>
      <w:r w:rsidRPr="00465CBB">
        <w:rPr>
          <w:rFonts w:ascii="Calibri" w:hAnsi="Calibri" w:cs="Calibri"/>
        </w:rPr>
        <w:t>más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fuerte</w:t>
      </w:r>
      <w:proofErr w:type="spellEnd"/>
      <w:r w:rsidRPr="00465CBB">
        <w:rPr>
          <w:rFonts w:ascii="Calibri" w:hAnsi="Calibri" w:cs="Calibri"/>
        </w:rPr>
        <w:t xml:space="preserve">, </w:t>
      </w:r>
      <w:proofErr w:type="spellStart"/>
      <w:r w:rsidRPr="00465CBB">
        <w:rPr>
          <w:rFonts w:ascii="Calibri" w:hAnsi="Calibri" w:cs="Calibri"/>
        </w:rPr>
        <w:t>tecnológicamente</w:t>
      </w:r>
      <w:proofErr w:type="spellEnd"/>
      <w:r w:rsidRPr="00465CBB">
        <w:rPr>
          <w:rFonts w:ascii="Calibri" w:hAnsi="Calibri" w:cs="Calibri"/>
        </w:rPr>
        <w:t xml:space="preserve"> </w:t>
      </w:r>
      <w:proofErr w:type="spellStart"/>
      <w:r w:rsidRPr="00465CBB">
        <w:rPr>
          <w:rFonts w:ascii="Calibri" w:hAnsi="Calibri" w:cs="Calibri"/>
        </w:rPr>
        <w:t>avanzado</w:t>
      </w:r>
      <w:proofErr w:type="spellEnd"/>
      <w:r w:rsidRPr="00465CBB">
        <w:rPr>
          <w:rFonts w:ascii="Calibri" w:hAnsi="Calibri" w:cs="Calibri"/>
        </w:rPr>
        <w:t xml:space="preserve"> y </w:t>
      </w:r>
      <w:proofErr w:type="spellStart"/>
      <w:r w:rsidRPr="00465CBB">
        <w:rPr>
          <w:rFonts w:ascii="Calibri" w:hAnsi="Calibri" w:cs="Calibri"/>
        </w:rPr>
        <w:t>orientado</w:t>
      </w:r>
      <w:proofErr w:type="spellEnd"/>
      <w:r w:rsidRPr="00465CBB">
        <w:rPr>
          <w:rFonts w:ascii="Calibri" w:hAnsi="Calibri" w:cs="Calibri"/>
        </w:rPr>
        <w:t xml:space="preserve"> a la </w:t>
      </w:r>
      <w:proofErr w:type="spellStart"/>
      <w:r w:rsidRPr="00465CBB">
        <w:rPr>
          <w:rFonts w:ascii="Calibri" w:hAnsi="Calibri" w:cs="Calibri"/>
        </w:rPr>
        <w:t>sostenibilidad</w:t>
      </w:r>
      <w:proofErr w:type="spellEnd"/>
      <w:r w:rsidRPr="00465CBB">
        <w:rPr>
          <w:rFonts w:ascii="Calibri" w:hAnsi="Calibri" w:cs="Calibri"/>
        </w:rPr>
        <w:t xml:space="preserve">”, </w:t>
      </w:r>
      <w:proofErr w:type="spellStart"/>
      <w:r>
        <w:rPr>
          <w:rFonts w:ascii="Calibri" w:hAnsi="Calibri" w:cs="Calibri"/>
        </w:rPr>
        <w:t>aseguró</w:t>
      </w:r>
      <w:proofErr w:type="spellEnd"/>
      <w:r w:rsidRPr="00465CBB">
        <w:rPr>
          <w:rFonts w:ascii="Calibri" w:hAnsi="Calibri" w:cs="Calibri"/>
        </w:rPr>
        <w:t xml:space="preserve"> García de </w:t>
      </w:r>
      <w:proofErr w:type="spellStart"/>
      <w:r w:rsidRPr="00465CBB">
        <w:rPr>
          <w:rFonts w:ascii="Calibri" w:hAnsi="Calibri" w:cs="Calibri"/>
        </w:rPr>
        <w:t>Quevedo</w:t>
      </w:r>
      <w:proofErr w:type="spellEnd"/>
      <w:r w:rsidRPr="00465CBB">
        <w:rPr>
          <w:rFonts w:ascii="Calibri" w:hAnsi="Calibri" w:cs="Calibri"/>
        </w:rPr>
        <w:t>.</w:t>
      </w:r>
      <w:proofErr w:type="gramEnd"/>
    </w:p>
    <w:p w14:paraId="0EE7A568" w14:textId="77777777" w:rsidR="001E52F4" w:rsidRPr="00F751FE" w:rsidRDefault="001E52F4" w:rsidP="00F751FE">
      <w:pPr>
        <w:pStyle w:val="NormalWeb"/>
        <w:jc w:val="both"/>
        <w:rPr>
          <w:rFonts w:ascii="Calibri" w:hAnsi="Calibri" w:cs="Calibri"/>
          <w:lang w:val="es-ES"/>
        </w:rPr>
      </w:pPr>
    </w:p>
    <w:p w14:paraId="6CFEC71C" w14:textId="681185D5" w:rsidR="002A1477" w:rsidRPr="00ED181E" w:rsidRDefault="002A1477" w:rsidP="002A1477">
      <w:pPr>
        <w:jc w:val="both"/>
        <w:rPr>
          <w:rFonts w:ascii="Calibri" w:eastAsia="Calibri" w:hAnsi="Calibri" w:cs="Calibri"/>
          <w:b/>
          <w:lang w:val="es-ES"/>
        </w:rPr>
      </w:pPr>
      <w:r w:rsidRPr="002A1477">
        <w:rPr>
          <w:rFonts w:ascii="Calibri" w:hAnsi="Calibri" w:cs="Calibri"/>
          <w:lang w:val="es-ES"/>
        </w:rPr>
        <w:lastRenderedPageBreak/>
        <w:t xml:space="preserve">Por último, la jornada acogió una mesa </w:t>
      </w:r>
      <w:r w:rsidRPr="00ED181E">
        <w:rPr>
          <w:rFonts w:ascii="Calibri" w:eastAsia="Calibri" w:hAnsi="Calibri" w:cs="Calibri"/>
          <w:b/>
          <w:color w:val="000000"/>
          <w:lang w:val="es-ES"/>
        </w:rPr>
        <w:t>redonda</w:t>
      </w:r>
      <w:r w:rsidRPr="00ED181E">
        <w:rPr>
          <w:rFonts w:ascii="Calibri" w:eastAsia="Calibri" w:hAnsi="Calibri" w:cs="Calibri"/>
          <w:b/>
          <w:lang w:val="es-ES"/>
        </w:rPr>
        <w:t xml:space="preserve"> </w:t>
      </w:r>
      <w:r w:rsidRPr="00ED181E">
        <w:rPr>
          <w:rFonts w:ascii="Calibri" w:eastAsia="Calibri" w:hAnsi="Calibri" w:cs="Calibri"/>
          <w:bCs/>
          <w:lang w:val="es-ES"/>
        </w:rPr>
        <w:t>titulada</w:t>
      </w:r>
      <w:r w:rsidRPr="00ED181E">
        <w:rPr>
          <w:rFonts w:ascii="Calibri" w:eastAsia="Calibri" w:hAnsi="Calibri" w:cs="Calibri"/>
          <w:b/>
          <w:lang w:val="es-ES"/>
        </w:rPr>
        <w:t xml:space="preserve"> “Innovación, digitalización, internacionalización y reputación”, en la que participaron Roberto Ortuño, responsable de Seguridad y Calidad Alimentaria de AINIA; Manuel Láinez, director de la Fundación </w:t>
      </w:r>
      <w:proofErr w:type="spellStart"/>
      <w:r w:rsidRPr="00ED181E">
        <w:rPr>
          <w:rFonts w:ascii="Calibri" w:eastAsia="Calibri" w:hAnsi="Calibri" w:cs="Calibri"/>
          <w:b/>
          <w:lang w:val="es-ES"/>
        </w:rPr>
        <w:t>Cajamar</w:t>
      </w:r>
      <w:proofErr w:type="spellEnd"/>
      <w:r w:rsidRPr="00ED181E">
        <w:rPr>
          <w:rFonts w:ascii="Calibri" w:eastAsia="Calibri" w:hAnsi="Calibri" w:cs="Calibri"/>
          <w:b/>
          <w:lang w:val="es-ES"/>
        </w:rPr>
        <w:t xml:space="preserve">; Rafael Pico, director </w:t>
      </w:r>
      <w:r w:rsidR="007F155C">
        <w:rPr>
          <w:rFonts w:ascii="Calibri" w:eastAsia="Calibri" w:hAnsi="Calibri" w:cs="Calibri"/>
          <w:b/>
          <w:lang w:val="es-ES"/>
        </w:rPr>
        <w:t xml:space="preserve">adjunto </w:t>
      </w:r>
      <w:r w:rsidRPr="00ED181E">
        <w:rPr>
          <w:rFonts w:ascii="Calibri" w:eastAsia="Calibri" w:hAnsi="Calibri" w:cs="Calibri"/>
          <w:b/>
          <w:lang w:val="es-ES"/>
        </w:rPr>
        <w:t xml:space="preserve">de </w:t>
      </w:r>
      <w:proofErr w:type="spellStart"/>
      <w:r w:rsidRPr="00ED181E">
        <w:rPr>
          <w:rFonts w:ascii="Calibri" w:eastAsia="Calibri" w:hAnsi="Calibri" w:cs="Calibri"/>
          <w:b/>
          <w:lang w:val="es-ES"/>
        </w:rPr>
        <w:t>Asoliva</w:t>
      </w:r>
      <w:proofErr w:type="spellEnd"/>
      <w:r w:rsidRPr="00ED181E">
        <w:rPr>
          <w:rFonts w:ascii="Calibri" w:eastAsia="Calibri" w:hAnsi="Calibri" w:cs="Calibri"/>
          <w:b/>
          <w:lang w:val="es-ES"/>
        </w:rPr>
        <w:t xml:space="preserve">; Lourdes </w:t>
      </w:r>
      <w:proofErr w:type="spellStart"/>
      <w:r w:rsidRPr="00ED181E">
        <w:rPr>
          <w:rFonts w:ascii="Calibri" w:eastAsia="Calibri" w:hAnsi="Calibri" w:cs="Calibri"/>
          <w:b/>
          <w:lang w:val="es-ES"/>
        </w:rPr>
        <w:t>Zuriaga</w:t>
      </w:r>
      <w:proofErr w:type="spellEnd"/>
      <w:r w:rsidRPr="00ED181E">
        <w:rPr>
          <w:rFonts w:ascii="Calibri" w:eastAsia="Calibri" w:hAnsi="Calibri" w:cs="Calibri"/>
          <w:b/>
          <w:lang w:val="es-ES"/>
        </w:rPr>
        <w:t xml:space="preserve">, presidenta de APAE; y María Naranjo, directora de Industria Alimentaria ICEX. </w:t>
      </w:r>
    </w:p>
    <w:p w14:paraId="26FFC455" w14:textId="77777777" w:rsidR="00EB171F" w:rsidRPr="00EB171F" w:rsidRDefault="00EB171F" w:rsidP="00EB1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bdr w:val="none" w:sz="0" w:space="0" w:color="auto"/>
          <w:lang w:val="es-ES" w:eastAsia="es-ES"/>
        </w:rPr>
      </w:pP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Durante el debate, los ponentes coincidieron en que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innovación tecnológica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y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digitalización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ya son palancas imprescindibles para ganar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eficiencia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asegurar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trazabilidad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y reforzar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sostenibilidad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del sistema alimentario español. Subrayaron, además,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internacionalización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como motor de crecimiento y la necesidad de fortalecer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reputación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sectorial en los mercados globales mediante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transparencia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buena comunicación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y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colaboración público-privada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>.</w:t>
      </w:r>
    </w:p>
    <w:p w14:paraId="3D1BBC1B" w14:textId="77777777" w:rsidR="00EB171F" w:rsidRPr="00EB171F" w:rsidRDefault="00EB171F" w:rsidP="00EB1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bdr w:val="none" w:sz="0" w:space="0" w:color="auto"/>
          <w:lang w:val="es-ES" w:eastAsia="es-ES"/>
        </w:rPr>
      </w:pP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Los expertos señalaron que el sector afronta un momento decisivo para consolidar su liderazgo: llevar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transformación digital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a las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pymes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impulsar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transferencia de conocimiento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y la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formación especializada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y escalar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modelos circulares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que integren innovación,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eficiencia energética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y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valorización de subproductos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. La combinación de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innovación, sostenibilidad, talento y reputación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será clave para sostener el crecimiento internacional y el papel de la industria como motor económico, social y territorial.</w:t>
      </w:r>
    </w:p>
    <w:p w14:paraId="6C0C3FBB" w14:textId="77777777" w:rsidR="00EB171F" w:rsidRPr="00EB171F" w:rsidRDefault="00EB171F" w:rsidP="00EB1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bdr w:val="none" w:sz="0" w:space="0" w:color="auto"/>
          <w:lang w:val="es-ES" w:eastAsia="es-ES"/>
        </w:rPr>
      </w:pP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En los últimos 15 años, la industria ha ganado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tamaño, exportaciones, eficiencia y seguridad alimentaria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. Ahora inicia un nuevo ciclo con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aceleración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: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digitalización con retorno rápido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trazabilidad integral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métricas ESG homologadas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innovación y circularidad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y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consolidación exterior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 con indicadores verificables.</w:t>
      </w:r>
    </w:p>
    <w:p w14:paraId="213FA4FB" w14:textId="1F6F103A" w:rsidR="006C1BAE" w:rsidRPr="00EB171F" w:rsidRDefault="00EB171F" w:rsidP="00EB1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eastAsia="Times New Roman" w:hAnsi="Calibri" w:cs="Calibri"/>
          <w:bdr w:val="none" w:sz="0" w:space="0" w:color="auto"/>
          <w:lang w:val="es-ES" w:eastAsia="es-ES"/>
        </w:rPr>
      </w:pP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De cara a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2030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, el objetivo es claro: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menos huella ambiental, más valor añadido y más exportaciones</w:t>
      </w:r>
      <w:r w:rsidRPr="00EB171F">
        <w:rPr>
          <w:rFonts w:ascii="Calibri" w:eastAsia="Times New Roman" w:hAnsi="Calibri" w:cs="Calibri"/>
          <w:bdr w:val="none" w:sz="0" w:space="0" w:color="auto"/>
          <w:lang w:val="es-ES" w:eastAsia="es-ES"/>
        </w:rPr>
        <w:t xml:space="preserve">. Como apuntaron los ponentes, </w:t>
      </w:r>
      <w:r w:rsidRPr="00EB171F">
        <w:rPr>
          <w:rFonts w:ascii="Calibri" w:eastAsia="Times New Roman" w:hAnsi="Calibri" w:cs="Calibri"/>
          <w:b/>
          <w:bCs/>
          <w:bdr w:val="none" w:sz="0" w:space="0" w:color="auto"/>
          <w:lang w:val="es-ES" w:eastAsia="es-ES"/>
        </w:rPr>
        <w:t>“la industria alimentaria avanzará más en los próximos cinco años que durante los últimos quince; y en los próximos quince, tanto como en los últimos cincuenta”.</w:t>
      </w:r>
    </w:p>
    <w:p w14:paraId="32EB51A4" w14:textId="77777777" w:rsidR="002A1477" w:rsidRPr="002A1477" w:rsidRDefault="002A1477" w:rsidP="002A1477">
      <w:pPr>
        <w:pStyle w:val="NormalWeb"/>
        <w:jc w:val="both"/>
        <w:rPr>
          <w:rFonts w:ascii="Calibri" w:hAnsi="Calibri" w:cs="Calibri"/>
          <w:lang w:val="es-ES"/>
        </w:rPr>
      </w:pPr>
      <w:proofErr w:type="spellStart"/>
      <w:r w:rsidRPr="002A1477">
        <w:rPr>
          <w:rFonts w:ascii="Calibri" w:hAnsi="Calibri" w:cs="Calibri"/>
          <w:lang w:val="es-ES"/>
        </w:rPr>
        <w:t>Agrifood</w:t>
      </w:r>
      <w:proofErr w:type="spellEnd"/>
      <w:r w:rsidRPr="002A1477">
        <w:rPr>
          <w:rFonts w:ascii="Calibri" w:hAnsi="Calibri" w:cs="Calibri"/>
          <w:lang w:val="es-ES"/>
        </w:rPr>
        <w:t xml:space="preserve"> </w:t>
      </w:r>
      <w:proofErr w:type="spellStart"/>
      <w:r w:rsidRPr="002A1477">
        <w:rPr>
          <w:rFonts w:ascii="Calibri" w:hAnsi="Calibri" w:cs="Calibri"/>
          <w:lang w:val="es-ES"/>
        </w:rPr>
        <w:t>Talks</w:t>
      </w:r>
      <w:proofErr w:type="spellEnd"/>
      <w:r w:rsidRPr="002A1477">
        <w:rPr>
          <w:rFonts w:ascii="Calibri" w:hAnsi="Calibri" w:cs="Calibri"/>
          <w:lang w:val="es-ES"/>
        </w:rPr>
        <w:t xml:space="preserve"> consolida así su papel como </w:t>
      </w:r>
      <w:r w:rsidRPr="002A1477">
        <w:rPr>
          <w:rFonts w:ascii="Calibri" w:hAnsi="Calibri" w:cs="Calibri"/>
          <w:b/>
          <w:bCs/>
          <w:lang w:val="es-ES"/>
        </w:rPr>
        <w:t>foro de referencia</w:t>
      </w:r>
      <w:r w:rsidRPr="002A1477">
        <w:rPr>
          <w:rFonts w:ascii="Calibri" w:hAnsi="Calibri" w:cs="Calibri"/>
          <w:lang w:val="es-ES"/>
        </w:rPr>
        <w:t xml:space="preserve"> para abordar los grandes retos del sistema agroalimentario. Quince años después, la industria alimentaria española reafirma su </w:t>
      </w:r>
      <w:r w:rsidRPr="002A1477">
        <w:rPr>
          <w:rFonts w:ascii="Calibri" w:hAnsi="Calibri" w:cs="Calibri"/>
          <w:b/>
          <w:bCs/>
          <w:lang w:val="es-ES"/>
        </w:rPr>
        <w:t>fortaleza</w:t>
      </w:r>
      <w:r w:rsidRPr="002A1477">
        <w:rPr>
          <w:rFonts w:ascii="Calibri" w:hAnsi="Calibri" w:cs="Calibri"/>
          <w:lang w:val="es-ES"/>
        </w:rPr>
        <w:t xml:space="preserve">, su </w:t>
      </w:r>
      <w:r w:rsidRPr="002A1477">
        <w:rPr>
          <w:rFonts w:ascii="Calibri" w:hAnsi="Calibri" w:cs="Calibri"/>
          <w:b/>
          <w:bCs/>
          <w:lang w:val="es-ES"/>
        </w:rPr>
        <w:t>capacidad de adaptación</w:t>
      </w:r>
      <w:r w:rsidRPr="002A1477">
        <w:rPr>
          <w:rFonts w:ascii="Calibri" w:hAnsi="Calibri" w:cs="Calibri"/>
          <w:lang w:val="es-ES"/>
        </w:rPr>
        <w:t xml:space="preserve"> y su </w:t>
      </w:r>
      <w:r w:rsidRPr="002A1477">
        <w:rPr>
          <w:rFonts w:ascii="Calibri" w:hAnsi="Calibri" w:cs="Calibri"/>
          <w:b/>
          <w:bCs/>
          <w:lang w:val="es-ES"/>
        </w:rPr>
        <w:t>contribución esencial</w:t>
      </w:r>
      <w:r w:rsidRPr="002A1477">
        <w:rPr>
          <w:rFonts w:ascii="Calibri" w:hAnsi="Calibri" w:cs="Calibri"/>
          <w:lang w:val="es-ES"/>
        </w:rPr>
        <w:t xml:space="preserve"> a la economía y a la sociedad.</w:t>
      </w:r>
    </w:p>
    <w:p w14:paraId="00F5903D" w14:textId="1FB69502" w:rsidR="00BA753D" w:rsidRPr="00BA753D" w:rsidRDefault="00BA753D" w:rsidP="000E1FBC">
      <w:pPr>
        <w:pStyle w:val="NormalWeb"/>
        <w:jc w:val="both"/>
        <w:rPr>
          <w:rFonts w:ascii="Calibri" w:eastAsia="Times New Roman" w:hAnsi="Calibri" w:cs="Calibri"/>
          <w:bdr w:val="none" w:sz="0" w:space="0" w:color="auto"/>
          <w:lang w:val="es-ES" w:eastAsia="es-ES"/>
        </w:rPr>
      </w:pPr>
    </w:p>
    <w:p w14:paraId="39389565" w14:textId="77777777" w:rsidR="004559E9" w:rsidRDefault="004559E9" w:rsidP="00FF5A23">
      <w:pPr>
        <w:pStyle w:val="NormalWeb"/>
        <w:jc w:val="both"/>
        <w:rPr>
          <w:rFonts w:ascii="Calibri" w:eastAsia="Times New Roman" w:hAnsi="Calibri" w:cs="Calibri"/>
          <w:bdr w:val="none" w:sz="0" w:space="0" w:color="auto"/>
          <w:lang w:val="es-ES" w:eastAsia="es-ES"/>
        </w:rPr>
      </w:pPr>
    </w:p>
    <w:p w14:paraId="6A502611" w14:textId="6BFAF5EF" w:rsidR="00BF74E2" w:rsidRPr="00C06941" w:rsidRDefault="001B2664">
      <w:pPr>
        <w:pStyle w:val="Poromis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Fonts w:ascii="Calibri" w:hAnsi="Calibri" w:cs="Calibri"/>
        </w:rPr>
      </w:pPr>
      <w:r w:rsidRPr="00C06941">
        <w:rPr>
          <w:rStyle w:val="Ninguno"/>
          <w:rFonts w:ascii="Calibri" w:hAnsi="Calibri" w:cs="Calibri"/>
          <w:b/>
          <w:bCs/>
        </w:rPr>
        <w:t>Más información</w:t>
      </w:r>
      <w:r w:rsidRPr="00C06941">
        <w:rPr>
          <w:rStyle w:val="Ninguno"/>
          <w:rFonts w:ascii="Calibri" w:hAnsi="Calibri" w:cs="Calibri"/>
        </w:rPr>
        <w:t xml:space="preserve">: </w:t>
      </w:r>
      <w:r w:rsidR="00263B39">
        <w:rPr>
          <w:rStyle w:val="Ninguno"/>
          <w:rFonts w:ascii="Calibri" w:hAnsi="Calibri" w:cs="Calibri"/>
        </w:rPr>
        <w:t>Mari Carmen Martínez</w:t>
      </w:r>
      <w:r w:rsidRPr="00C06941">
        <w:rPr>
          <w:rStyle w:val="Ninguno"/>
          <w:rFonts w:ascii="Calibri" w:hAnsi="Calibri" w:cs="Calibri"/>
        </w:rPr>
        <w:t xml:space="preserve"> </w:t>
      </w:r>
      <w:hyperlink r:id="rId10" w:history="1">
        <w:r w:rsidRPr="00C06941">
          <w:rPr>
            <w:rStyle w:val="Hyperlink0"/>
            <w:rFonts w:ascii="Calibri" w:hAnsi="Calibri" w:cs="Calibri"/>
          </w:rPr>
          <w:t>agrifood@agrifood.es</w:t>
        </w:r>
      </w:hyperlink>
    </w:p>
    <w:sectPr w:rsidR="00BF74E2" w:rsidRPr="00C06941"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8543D" w14:textId="77777777" w:rsidR="00AF0932" w:rsidRDefault="00AF0932">
      <w:r>
        <w:separator/>
      </w:r>
    </w:p>
  </w:endnote>
  <w:endnote w:type="continuationSeparator" w:id="0">
    <w:p w14:paraId="050D2FF2" w14:textId="77777777" w:rsidR="00AF0932" w:rsidRDefault="00AF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2A5AB" w14:textId="7CA4A873" w:rsidR="004B56F3" w:rsidRPr="004B56F3" w:rsidRDefault="004B56F3" w:rsidP="004B56F3">
    <w:pPr>
      <w:jc w:val="center"/>
      <w:rPr>
        <w:rFonts w:cs="Arial"/>
        <w:color w:val="808080"/>
        <w:sz w:val="20"/>
      </w:rPr>
    </w:pPr>
    <w:bookmarkStart w:id="1" w:name="_Hlk163057867"/>
    <w:bookmarkStart w:id="2" w:name="_Hlk163057868"/>
    <w:bookmarkStart w:id="3" w:name="_Hlk163058346"/>
    <w:bookmarkStart w:id="4" w:name="_Hlk163058347"/>
    <w:proofErr w:type="spellStart"/>
    <w:r w:rsidRPr="004B56F3">
      <w:rPr>
        <w:rFonts w:cs="Arial"/>
        <w:color w:val="808080"/>
        <w:sz w:val="20"/>
        <w:lang w:val="es-ES"/>
      </w:rPr>
      <w:t>Agrifood</w:t>
    </w:r>
    <w:proofErr w:type="spellEnd"/>
    <w:r w:rsidRPr="004B56F3">
      <w:rPr>
        <w:rFonts w:cs="Arial"/>
        <w:color w:val="808080"/>
        <w:sz w:val="20"/>
        <w:lang w:val="es-ES"/>
      </w:rPr>
      <w:t xml:space="preserve"> Comunicación</w:t>
    </w:r>
    <w:r w:rsidRPr="004B56F3">
      <w:rPr>
        <w:rFonts w:cs="Arial"/>
        <w:color w:val="808080"/>
        <w:sz w:val="20"/>
        <w:lang w:val="es-ES"/>
      </w:rPr>
      <w:br/>
      <w:t xml:space="preserve">C/ </w:t>
    </w:r>
    <w:proofErr w:type="spellStart"/>
    <w:r w:rsidRPr="004B56F3">
      <w:rPr>
        <w:rFonts w:cs="Arial"/>
        <w:color w:val="808080"/>
        <w:sz w:val="20"/>
        <w:lang w:val="es-ES"/>
      </w:rPr>
      <w:t>Daoiz</w:t>
    </w:r>
    <w:proofErr w:type="spellEnd"/>
    <w:r w:rsidRPr="004B56F3">
      <w:rPr>
        <w:rFonts w:cs="Arial"/>
        <w:color w:val="808080"/>
        <w:sz w:val="20"/>
        <w:lang w:val="es-ES"/>
      </w:rPr>
      <w:t xml:space="preserve">, 6 – Bajo B – 28004 – Madrid– Tfno. </w:t>
    </w:r>
    <w:r>
      <w:rPr>
        <w:rFonts w:cs="Arial"/>
        <w:color w:val="808080"/>
        <w:sz w:val="20"/>
      </w:rPr>
      <w:t xml:space="preserve">+34 </w:t>
    </w:r>
    <w:r w:rsidRPr="006808C8">
      <w:rPr>
        <w:rFonts w:cs="Arial"/>
        <w:color w:val="808080"/>
        <w:sz w:val="20"/>
      </w:rPr>
      <w:t xml:space="preserve">91 721 7929 – </w:t>
    </w:r>
    <w:r>
      <w:rPr>
        <w:rFonts w:cs="Arial"/>
        <w:color w:val="808080"/>
        <w:sz w:val="20"/>
      </w:rPr>
      <w:br/>
    </w:r>
    <w:r w:rsidRPr="006808C8">
      <w:rPr>
        <w:rFonts w:cs="Arial"/>
        <w:color w:val="808080"/>
        <w:sz w:val="20"/>
      </w:rPr>
      <w:t xml:space="preserve">E-mail: </w:t>
    </w:r>
    <w:r>
      <w:rPr>
        <w:rFonts w:cs="Arial"/>
        <w:color w:val="808080"/>
        <w:sz w:val="20"/>
      </w:rPr>
      <w:t>agrifood@agrifood.es</w:t>
    </w:r>
    <w:r w:rsidRPr="006808C8">
      <w:rPr>
        <w:rFonts w:cs="Arial"/>
        <w:color w:val="808080"/>
        <w:sz w:val="20"/>
      </w:rPr>
      <w:t xml:space="preserve"> - </w:t>
    </w:r>
    <w:hyperlink r:id="rId1" w:history="1">
      <w:r w:rsidRPr="00CA16CD">
        <w:rPr>
          <w:rStyle w:val="Hipervnculo"/>
          <w:rFonts w:cs="Arial"/>
          <w:sz w:val="20"/>
        </w:rPr>
        <w:t>www.agrifood.es</w:t>
      </w:r>
    </w:hyperlink>
    <w:bookmarkEnd w:id="1"/>
    <w:bookmarkEnd w:id="2"/>
    <w:bookmarkEnd w:id="3"/>
    <w:bookmarkEnd w:id="4"/>
    <w:r>
      <w:rPr>
        <w:rStyle w:val="Hipervnculo"/>
        <w:rFonts w:cs="Arial"/>
        <w:sz w:val="20"/>
      </w:rPr>
      <w:t xml:space="preserve"> </w:t>
    </w:r>
  </w:p>
  <w:p w14:paraId="1F4CB0B8" w14:textId="77777777" w:rsidR="00BF74E2" w:rsidRDefault="00BF74E2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0B584" w14:textId="77777777" w:rsidR="00AF0932" w:rsidRDefault="00AF0932">
      <w:r>
        <w:separator/>
      </w:r>
    </w:p>
  </w:footnote>
  <w:footnote w:type="continuationSeparator" w:id="0">
    <w:p w14:paraId="4546614E" w14:textId="77777777" w:rsidR="00AF0932" w:rsidRDefault="00AF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EF7"/>
    <w:multiLevelType w:val="hybridMultilevel"/>
    <w:tmpl w:val="602CD334"/>
    <w:lvl w:ilvl="0" w:tplc="0C0A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>
    <w:nsid w:val="10967A00"/>
    <w:multiLevelType w:val="hybridMultilevel"/>
    <w:tmpl w:val="35D82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838BF"/>
    <w:multiLevelType w:val="hybridMultilevel"/>
    <w:tmpl w:val="C0FE6128"/>
    <w:numStyleLink w:val="Vietas"/>
  </w:abstractNum>
  <w:abstractNum w:abstractNumId="3">
    <w:nsid w:val="1918733F"/>
    <w:multiLevelType w:val="hybridMultilevel"/>
    <w:tmpl w:val="28A828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0735D"/>
    <w:multiLevelType w:val="hybridMultilevel"/>
    <w:tmpl w:val="0062F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20F19"/>
    <w:multiLevelType w:val="hybridMultilevel"/>
    <w:tmpl w:val="D0A28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213A0"/>
    <w:multiLevelType w:val="hybridMultilevel"/>
    <w:tmpl w:val="2F6CC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12C76"/>
    <w:multiLevelType w:val="hybridMultilevel"/>
    <w:tmpl w:val="C0D68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3FA6"/>
    <w:multiLevelType w:val="hybridMultilevel"/>
    <w:tmpl w:val="27CC07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6C112A"/>
    <w:multiLevelType w:val="multilevel"/>
    <w:tmpl w:val="3DD6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C4313"/>
    <w:multiLevelType w:val="hybridMultilevel"/>
    <w:tmpl w:val="C0FE6128"/>
    <w:styleLink w:val="Vietas"/>
    <w:lvl w:ilvl="0" w:tplc="B16ACE20">
      <w:start w:val="1"/>
      <w:numFmt w:val="bullet"/>
      <w:lvlText w:val="-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F4DC12">
      <w:start w:val="1"/>
      <w:numFmt w:val="bullet"/>
      <w:lvlText w:val="-"/>
      <w:lvlJc w:val="left"/>
      <w:pPr>
        <w:ind w:left="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96A808">
      <w:start w:val="1"/>
      <w:numFmt w:val="bullet"/>
      <w:lvlText w:val="-"/>
      <w:lvlJc w:val="left"/>
      <w:pPr>
        <w:ind w:left="1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844304">
      <w:start w:val="1"/>
      <w:numFmt w:val="bullet"/>
      <w:lvlText w:val="-"/>
      <w:lvlJc w:val="left"/>
      <w:pPr>
        <w:ind w:left="1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4086A4">
      <w:start w:val="1"/>
      <w:numFmt w:val="bullet"/>
      <w:lvlText w:val="-"/>
      <w:lvlJc w:val="left"/>
      <w:pPr>
        <w:ind w:left="25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E06C">
      <w:start w:val="1"/>
      <w:numFmt w:val="bullet"/>
      <w:lvlText w:val="-"/>
      <w:lvlJc w:val="left"/>
      <w:pPr>
        <w:ind w:left="31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2A5A2">
      <w:start w:val="1"/>
      <w:numFmt w:val="bullet"/>
      <w:lvlText w:val="-"/>
      <w:lvlJc w:val="left"/>
      <w:pPr>
        <w:ind w:left="37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FAD47A">
      <w:start w:val="1"/>
      <w:numFmt w:val="bullet"/>
      <w:lvlText w:val="-"/>
      <w:lvlJc w:val="left"/>
      <w:pPr>
        <w:ind w:left="43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241AE">
      <w:start w:val="1"/>
      <w:numFmt w:val="bullet"/>
      <w:lvlText w:val="-"/>
      <w:lvlJc w:val="left"/>
      <w:pPr>
        <w:ind w:left="4989" w:hanging="1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95F1DF8"/>
    <w:multiLevelType w:val="hybridMultilevel"/>
    <w:tmpl w:val="EFAC3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573DC"/>
    <w:multiLevelType w:val="hybridMultilevel"/>
    <w:tmpl w:val="A168C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312AE"/>
    <w:multiLevelType w:val="hybridMultilevel"/>
    <w:tmpl w:val="AE683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2"/>
    <w:rsid w:val="00006A46"/>
    <w:rsid w:val="00006CA3"/>
    <w:rsid w:val="00016C5F"/>
    <w:rsid w:val="000219DD"/>
    <w:rsid w:val="00033B84"/>
    <w:rsid w:val="000371AF"/>
    <w:rsid w:val="0004165C"/>
    <w:rsid w:val="000A5126"/>
    <w:rsid w:val="000C7EA0"/>
    <w:rsid w:val="000D44E1"/>
    <w:rsid w:val="000E1FBC"/>
    <w:rsid w:val="000E2AEF"/>
    <w:rsid w:val="00102609"/>
    <w:rsid w:val="001050AA"/>
    <w:rsid w:val="00106740"/>
    <w:rsid w:val="00131980"/>
    <w:rsid w:val="001440FA"/>
    <w:rsid w:val="0014614F"/>
    <w:rsid w:val="00147E78"/>
    <w:rsid w:val="0015565C"/>
    <w:rsid w:val="00162C18"/>
    <w:rsid w:val="00174032"/>
    <w:rsid w:val="001864A9"/>
    <w:rsid w:val="001B2664"/>
    <w:rsid w:val="001B4983"/>
    <w:rsid w:val="001C337E"/>
    <w:rsid w:val="001D7CB6"/>
    <w:rsid w:val="001E52F4"/>
    <w:rsid w:val="002016D8"/>
    <w:rsid w:val="00213059"/>
    <w:rsid w:val="00215943"/>
    <w:rsid w:val="0024251B"/>
    <w:rsid w:val="0026007E"/>
    <w:rsid w:val="00263B39"/>
    <w:rsid w:val="00277F45"/>
    <w:rsid w:val="002859B4"/>
    <w:rsid w:val="0029151D"/>
    <w:rsid w:val="0029705F"/>
    <w:rsid w:val="002A0060"/>
    <w:rsid w:val="002A1477"/>
    <w:rsid w:val="002A4B07"/>
    <w:rsid w:val="002B316F"/>
    <w:rsid w:val="002C4680"/>
    <w:rsid w:val="002D7B64"/>
    <w:rsid w:val="00307CDC"/>
    <w:rsid w:val="00325C55"/>
    <w:rsid w:val="00336589"/>
    <w:rsid w:val="003465BD"/>
    <w:rsid w:val="00360168"/>
    <w:rsid w:val="003611B0"/>
    <w:rsid w:val="00382B96"/>
    <w:rsid w:val="003A11DA"/>
    <w:rsid w:val="003A3625"/>
    <w:rsid w:val="003B4649"/>
    <w:rsid w:val="003D0D80"/>
    <w:rsid w:val="00421F7F"/>
    <w:rsid w:val="0043375C"/>
    <w:rsid w:val="0044254B"/>
    <w:rsid w:val="004559D4"/>
    <w:rsid w:val="004559E9"/>
    <w:rsid w:val="004564FA"/>
    <w:rsid w:val="00465CBB"/>
    <w:rsid w:val="0047622F"/>
    <w:rsid w:val="004A04EC"/>
    <w:rsid w:val="004A7BE8"/>
    <w:rsid w:val="004B56F3"/>
    <w:rsid w:val="004C0AC5"/>
    <w:rsid w:val="004C1D16"/>
    <w:rsid w:val="004E7E9D"/>
    <w:rsid w:val="004F5E4E"/>
    <w:rsid w:val="004F66DB"/>
    <w:rsid w:val="00503A88"/>
    <w:rsid w:val="0050421F"/>
    <w:rsid w:val="00511BF3"/>
    <w:rsid w:val="005169C5"/>
    <w:rsid w:val="005211D5"/>
    <w:rsid w:val="0052374A"/>
    <w:rsid w:val="005273F2"/>
    <w:rsid w:val="0055717C"/>
    <w:rsid w:val="00566D73"/>
    <w:rsid w:val="00582D90"/>
    <w:rsid w:val="0058566E"/>
    <w:rsid w:val="00586CF4"/>
    <w:rsid w:val="00591448"/>
    <w:rsid w:val="005945E9"/>
    <w:rsid w:val="005946A7"/>
    <w:rsid w:val="005A218B"/>
    <w:rsid w:val="005C5B81"/>
    <w:rsid w:val="005D24FC"/>
    <w:rsid w:val="00640613"/>
    <w:rsid w:val="006829E1"/>
    <w:rsid w:val="00684652"/>
    <w:rsid w:val="00691F3D"/>
    <w:rsid w:val="006A4579"/>
    <w:rsid w:val="006A4791"/>
    <w:rsid w:val="006A488E"/>
    <w:rsid w:val="006C02C3"/>
    <w:rsid w:val="006C1BAE"/>
    <w:rsid w:val="006C2A7C"/>
    <w:rsid w:val="006C4228"/>
    <w:rsid w:val="006C79B4"/>
    <w:rsid w:val="006C7B65"/>
    <w:rsid w:val="006E08F5"/>
    <w:rsid w:val="006E0A81"/>
    <w:rsid w:val="006E2519"/>
    <w:rsid w:val="006E6BAA"/>
    <w:rsid w:val="006F58AC"/>
    <w:rsid w:val="00705347"/>
    <w:rsid w:val="00706DB5"/>
    <w:rsid w:val="00726648"/>
    <w:rsid w:val="00752C7C"/>
    <w:rsid w:val="007567B5"/>
    <w:rsid w:val="007664F6"/>
    <w:rsid w:val="00782823"/>
    <w:rsid w:val="0078464C"/>
    <w:rsid w:val="00786624"/>
    <w:rsid w:val="00786A2D"/>
    <w:rsid w:val="00791391"/>
    <w:rsid w:val="00795688"/>
    <w:rsid w:val="00797DB8"/>
    <w:rsid w:val="007A127E"/>
    <w:rsid w:val="007A5DA1"/>
    <w:rsid w:val="007A7A27"/>
    <w:rsid w:val="007B39FA"/>
    <w:rsid w:val="007C380B"/>
    <w:rsid w:val="007C598A"/>
    <w:rsid w:val="007C7E25"/>
    <w:rsid w:val="007D4297"/>
    <w:rsid w:val="007E21F1"/>
    <w:rsid w:val="007E4651"/>
    <w:rsid w:val="007F155C"/>
    <w:rsid w:val="007F31F8"/>
    <w:rsid w:val="00810261"/>
    <w:rsid w:val="00824870"/>
    <w:rsid w:val="008427DE"/>
    <w:rsid w:val="0085319F"/>
    <w:rsid w:val="00872104"/>
    <w:rsid w:val="00872610"/>
    <w:rsid w:val="00872766"/>
    <w:rsid w:val="0088428A"/>
    <w:rsid w:val="00885420"/>
    <w:rsid w:val="0089395F"/>
    <w:rsid w:val="008A0C3C"/>
    <w:rsid w:val="008A1E27"/>
    <w:rsid w:val="008A4130"/>
    <w:rsid w:val="008A45EA"/>
    <w:rsid w:val="008B0B02"/>
    <w:rsid w:val="008C3C9B"/>
    <w:rsid w:val="008D1260"/>
    <w:rsid w:val="008E19DE"/>
    <w:rsid w:val="008F0AEC"/>
    <w:rsid w:val="00904C9A"/>
    <w:rsid w:val="00906092"/>
    <w:rsid w:val="00914937"/>
    <w:rsid w:val="00915FAB"/>
    <w:rsid w:val="00924120"/>
    <w:rsid w:val="00927521"/>
    <w:rsid w:val="00935851"/>
    <w:rsid w:val="00935A35"/>
    <w:rsid w:val="00955892"/>
    <w:rsid w:val="009C5A89"/>
    <w:rsid w:val="009E66CF"/>
    <w:rsid w:val="00A008E2"/>
    <w:rsid w:val="00A05A75"/>
    <w:rsid w:val="00A25DC1"/>
    <w:rsid w:val="00A42B0F"/>
    <w:rsid w:val="00A75C3B"/>
    <w:rsid w:val="00A81BD9"/>
    <w:rsid w:val="00A95743"/>
    <w:rsid w:val="00AA3D37"/>
    <w:rsid w:val="00AA4655"/>
    <w:rsid w:val="00AB2637"/>
    <w:rsid w:val="00AB71FF"/>
    <w:rsid w:val="00AC6958"/>
    <w:rsid w:val="00AD3D2B"/>
    <w:rsid w:val="00AD5081"/>
    <w:rsid w:val="00AE4D36"/>
    <w:rsid w:val="00AF03C3"/>
    <w:rsid w:val="00AF0932"/>
    <w:rsid w:val="00AF25C4"/>
    <w:rsid w:val="00B1513E"/>
    <w:rsid w:val="00B20027"/>
    <w:rsid w:val="00B25404"/>
    <w:rsid w:val="00B26ECE"/>
    <w:rsid w:val="00B339FF"/>
    <w:rsid w:val="00B34C4A"/>
    <w:rsid w:val="00B359B2"/>
    <w:rsid w:val="00B468FF"/>
    <w:rsid w:val="00B47F3A"/>
    <w:rsid w:val="00B575A1"/>
    <w:rsid w:val="00B919C7"/>
    <w:rsid w:val="00B91D92"/>
    <w:rsid w:val="00B96944"/>
    <w:rsid w:val="00BA0A18"/>
    <w:rsid w:val="00BA753D"/>
    <w:rsid w:val="00BA7CFA"/>
    <w:rsid w:val="00BC0917"/>
    <w:rsid w:val="00BC5F71"/>
    <w:rsid w:val="00BE79A0"/>
    <w:rsid w:val="00BF74E2"/>
    <w:rsid w:val="00BF7B53"/>
    <w:rsid w:val="00C04D11"/>
    <w:rsid w:val="00C0608E"/>
    <w:rsid w:val="00C06387"/>
    <w:rsid w:val="00C06941"/>
    <w:rsid w:val="00C372F4"/>
    <w:rsid w:val="00C409BE"/>
    <w:rsid w:val="00C628E8"/>
    <w:rsid w:val="00CA061C"/>
    <w:rsid w:val="00CA2CD9"/>
    <w:rsid w:val="00CA5A5F"/>
    <w:rsid w:val="00CB2979"/>
    <w:rsid w:val="00CC053A"/>
    <w:rsid w:val="00CC2C4F"/>
    <w:rsid w:val="00CC3FB0"/>
    <w:rsid w:val="00CE4DAC"/>
    <w:rsid w:val="00D612D2"/>
    <w:rsid w:val="00D84DFD"/>
    <w:rsid w:val="00DA19C4"/>
    <w:rsid w:val="00DA549E"/>
    <w:rsid w:val="00DA696F"/>
    <w:rsid w:val="00DC6EA3"/>
    <w:rsid w:val="00DE1607"/>
    <w:rsid w:val="00DE5BF8"/>
    <w:rsid w:val="00DF4FA4"/>
    <w:rsid w:val="00E016C2"/>
    <w:rsid w:val="00E145AF"/>
    <w:rsid w:val="00E22271"/>
    <w:rsid w:val="00E63C95"/>
    <w:rsid w:val="00E730C5"/>
    <w:rsid w:val="00E80A24"/>
    <w:rsid w:val="00E824F3"/>
    <w:rsid w:val="00E8270B"/>
    <w:rsid w:val="00E955FF"/>
    <w:rsid w:val="00EA1FE4"/>
    <w:rsid w:val="00EB171F"/>
    <w:rsid w:val="00EB6EB0"/>
    <w:rsid w:val="00ED181E"/>
    <w:rsid w:val="00ED5C8B"/>
    <w:rsid w:val="00ED71BF"/>
    <w:rsid w:val="00EE3528"/>
    <w:rsid w:val="00F328B5"/>
    <w:rsid w:val="00F57406"/>
    <w:rsid w:val="00F751FE"/>
    <w:rsid w:val="00F8138D"/>
    <w:rsid w:val="00F85D07"/>
    <w:rsid w:val="00F87AE8"/>
    <w:rsid w:val="00FA0E1D"/>
    <w:rsid w:val="00FA6223"/>
    <w:rsid w:val="00FB460F"/>
    <w:rsid w:val="00FB7186"/>
    <w:rsid w:val="00FC458F"/>
    <w:rsid w:val="00FC4D9D"/>
    <w:rsid w:val="00FD3DD5"/>
    <w:rsid w:val="00FF5A23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0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s">
    <w:name w:val="Viñetas"/>
    <w:pPr>
      <w:numPr>
        <w:numId w:val="1"/>
      </w:numPr>
    </w:pPr>
  </w:style>
  <w:style w:type="paragraph" w:customStyle="1" w:styleId="PoromisinA">
    <w:name w:val="Por omisión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Arial" w:eastAsia="Arial" w:hAnsi="Arial" w:cs="Arial"/>
      <w:outline w:val="0"/>
      <w:color w:val="0000FF"/>
      <w:u w:val="single" w:color="0000FF"/>
    </w:rPr>
  </w:style>
  <w:style w:type="paragraph" w:styleId="Encabezado">
    <w:name w:val="header"/>
    <w:basedOn w:val="Normal"/>
    <w:link w:val="EncabezadoCar"/>
    <w:uiPriority w:val="99"/>
    <w:unhideWhenUsed/>
    <w:rsid w:val="004B56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6F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B56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6F3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C02C3"/>
  </w:style>
  <w:style w:type="character" w:styleId="Textoennegrita">
    <w:name w:val="Strong"/>
    <w:basedOn w:val="Fuentedeprrafopredeter"/>
    <w:uiPriority w:val="22"/>
    <w:qFormat/>
    <w:rsid w:val="00786624"/>
    <w:rPr>
      <w:b/>
      <w:bCs/>
    </w:rPr>
  </w:style>
  <w:style w:type="paragraph" w:styleId="Prrafodelista">
    <w:name w:val="List Paragraph"/>
    <w:basedOn w:val="Normal"/>
    <w:uiPriority w:val="34"/>
    <w:qFormat/>
    <w:rsid w:val="00786624"/>
    <w:pPr>
      <w:ind w:left="720"/>
      <w:contextualSpacing/>
    </w:pPr>
  </w:style>
  <w:style w:type="paragraph" w:styleId="Revisin">
    <w:name w:val="Revision"/>
    <w:hidden/>
    <w:uiPriority w:val="99"/>
    <w:semiHidden/>
    <w:rsid w:val="00797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97D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D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7DB8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7DB8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1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3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s">
    <w:name w:val="Viñetas"/>
    <w:pPr>
      <w:numPr>
        <w:numId w:val="1"/>
      </w:numPr>
    </w:pPr>
  </w:style>
  <w:style w:type="paragraph" w:customStyle="1" w:styleId="PoromisinA">
    <w:name w:val="Por omisión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Arial" w:eastAsia="Arial" w:hAnsi="Arial" w:cs="Arial"/>
      <w:outline w:val="0"/>
      <w:color w:val="0000FF"/>
      <w:u w:val="single" w:color="0000FF"/>
    </w:rPr>
  </w:style>
  <w:style w:type="paragraph" w:styleId="Encabezado">
    <w:name w:val="header"/>
    <w:basedOn w:val="Normal"/>
    <w:link w:val="EncabezadoCar"/>
    <w:uiPriority w:val="99"/>
    <w:unhideWhenUsed/>
    <w:rsid w:val="004B56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6F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B56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6F3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C02C3"/>
  </w:style>
  <w:style w:type="character" w:styleId="Textoennegrita">
    <w:name w:val="Strong"/>
    <w:basedOn w:val="Fuentedeprrafopredeter"/>
    <w:uiPriority w:val="22"/>
    <w:qFormat/>
    <w:rsid w:val="00786624"/>
    <w:rPr>
      <w:b/>
      <w:bCs/>
    </w:rPr>
  </w:style>
  <w:style w:type="paragraph" w:styleId="Prrafodelista">
    <w:name w:val="List Paragraph"/>
    <w:basedOn w:val="Normal"/>
    <w:uiPriority w:val="34"/>
    <w:qFormat/>
    <w:rsid w:val="00786624"/>
    <w:pPr>
      <w:ind w:left="720"/>
      <w:contextualSpacing/>
    </w:pPr>
  </w:style>
  <w:style w:type="paragraph" w:styleId="Revisin">
    <w:name w:val="Revision"/>
    <w:hidden/>
    <w:uiPriority w:val="99"/>
    <w:semiHidden/>
    <w:rsid w:val="00797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97D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D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7DB8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7DB8"/>
    <w:rPr>
      <w:b/>
      <w:bCs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1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13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9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rifood@agrifood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food.es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Casamayor</dc:creator>
  <cp:lastModifiedBy>Usuario</cp:lastModifiedBy>
  <cp:revision>2</cp:revision>
  <dcterms:created xsi:type="dcterms:W3CDTF">2025-11-07T13:18:00Z</dcterms:created>
  <dcterms:modified xsi:type="dcterms:W3CDTF">2025-11-07T13:18:00Z</dcterms:modified>
</cp:coreProperties>
</file>