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51AE" w14:textId="7CCD09B2" w:rsidR="005B4654" w:rsidRDefault="70C85550" w:rsidP="344CA739">
      <w:pPr>
        <w:jc w:val="center"/>
        <w:rPr>
          <w:rFonts w:ascii="Gill Sans MT" w:eastAsia="Gill Sans MT" w:hAnsi="Gill Sans MT" w:cs="Gill Sans MT"/>
          <w:color w:val="1F3864" w:themeColor="accent1" w:themeShade="80"/>
          <w:sz w:val="28"/>
          <w:szCs w:val="28"/>
        </w:rPr>
      </w:pPr>
      <w:r w:rsidRPr="48FBEF15">
        <w:rPr>
          <w:rFonts w:ascii="Gill Sans MT" w:eastAsia="Gill Sans MT" w:hAnsi="Gill Sans MT" w:cs="Gill Sans MT"/>
          <w:b/>
          <w:bCs/>
          <w:color w:val="1F3864" w:themeColor="accent1" w:themeShade="80"/>
          <w:sz w:val="28"/>
          <w:szCs w:val="28"/>
          <w:u w:val="single"/>
        </w:rPr>
        <w:t xml:space="preserve">TWINNING – CONDICIONES DE RTA: </w:t>
      </w:r>
    </w:p>
    <w:p w14:paraId="0B8DCEFF" w14:textId="28B7AE44" w:rsidR="005B4654" w:rsidRDefault="003826F2" w:rsidP="48FBEF15">
      <w:pPr>
        <w:jc w:val="center"/>
        <w:rPr>
          <w:rFonts w:ascii="Gill Sans MT" w:eastAsia="Gill Sans MT" w:hAnsi="Gill Sans MT" w:cs="Gill Sans MT"/>
          <w:b/>
          <w:bCs/>
          <w:color w:val="1F3864" w:themeColor="accent1" w:themeShade="80"/>
          <w:sz w:val="28"/>
          <w:szCs w:val="28"/>
          <w:u w:val="single"/>
        </w:rPr>
      </w:pPr>
      <w:r>
        <w:rPr>
          <w:rFonts w:ascii="Gill Sans MT" w:eastAsia="Gill Sans MT" w:hAnsi="Gill Sans MT" w:cs="Gill Sans MT"/>
          <w:b/>
          <w:bCs/>
          <w:color w:val="1F3864" w:themeColor="accent1" w:themeShade="80"/>
          <w:sz w:val="28"/>
          <w:szCs w:val="28"/>
          <w:u w:val="single"/>
        </w:rPr>
        <w:t>Costa de Marfil – Control veterinario</w:t>
      </w:r>
    </w:p>
    <w:p w14:paraId="522F7041" w14:textId="2497B2EA" w:rsidR="6DCF2875" w:rsidRDefault="6DCF2875" w:rsidP="6DCF2875">
      <w:pPr>
        <w:jc w:val="both"/>
        <w:rPr>
          <w:rFonts w:ascii="Gill Sans MT" w:eastAsia="Gill Sans MT" w:hAnsi="Gill Sans MT" w:cs="Gill Sans MT"/>
          <w:color w:val="000000" w:themeColor="text1"/>
          <w:sz w:val="20"/>
          <w:szCs w:val="20"/>
        </w:rPr>
      </w:pPr>
    </w:p>
    <w:p w14:paraId="551AD52F" w14:textId="67538117" w:rsidR="005B4654" w:rsidRDefault="70C85550" w:rsidP="6DCF2875">
      <w:pPr>
        <w:jc w:val="both"/>
        <w:rPr>
          <w:rFonts w:ascii="Gill Sans MT" w:eastAsia="Gill Sans MT" w:hAnsi="Gill Sans MT" w:cs="Gill Sans MT"/>
          <w:color w:val="000000" w:themeColor="text1"/>
        </w:rPr>
      </w:pPr>
      <w:r w:rsidRPr="6DCF2875">
        <w:rPr>
          <w:rFonts w:ascii="Gill Sans MT" w:eastAsia="Gill Sans MT" w:hAnsi="Gill Sans MT" w:cs="Gill Sans MT"/>
          <w:color w:val="000000" w:themeColor="text1"/>
        </w:rPr>
        <w:t>Al RTA, le corresponderían las siguientes partidas, dependiendo de si va a viajar solo o con familia:</w:t>
      </w:r>
    </w:p>
    <w:p w14:paraId="3095E039" w14:textId="4CAB7E5D" w:rsidR="005B4654" w:rsidRDefault="005B4654" w:rsidP="344CA739">
      <w:pPr>
        <w:jc w:val="both"/>
        <w:rPr>
          <w:rFonts w:ascii="Gill Sans MT" w:eastAsia="Gill Sans MT" w:hAnsi="Gill Sans MT" w:cs="Gill Sans MT"/>
          <w:color w:val="000000" w:themeColor="text1"/>
          <w:sz w:val="20"/>
          <w:szCs w:val="20"/>
        </w:rPr>
      </w:pPr>
    </w:p>
    <w:p w14:paraId="1F501E2E" w14:textId="09F766E9" w:rsidR="005B4654" w:rsidRDefault="70C85550" w:rsidP="46132E5F">
      <w:pPr>
        <w:jc w:val="both"/>
        <w:rPr>
          <w:rFonts w:ascii="Gill Sans MT" w:eastAsia="Gill Sans MT" w:hAnsi="Gill Sans MT" w:cs="Gill Sans MT"/>
          <w:color w:val="1F3864" w:themeColor="accent1" w:themeShade="80"/>
          <w:sz w:val="20"/>
          <w:szCs w:val="20"/>
        </w:rPr>
      </w:pPr>
      <w:r w:rsidRPr="46132E5F">
        <w:rPr>
          <w:rFonts w:ascii="Gill Sans MT" w:eastAsia="Gill Sans MT" w:hAnsi="Gill Sans MT" w:cs="Gill Sans MT"/>
          <w:b/>
          <w:bCs/>
          <w:color w:val="1F3864" w:themeColor="accent1" w:themeShade="80"/>
          <w:sz w:val="20"/>
          <w:szCs w:val="20"/>
          <w:u w:val="single"/>
        </w:rPr>
        <w:t>OPCIÓN A: SIN FAMILIA</w:t>
      </w:r>
    </w:p>
    <w:p w14:paraId="538E53C3" w14:textId="6C447130" w:rsidR="005B4654" w:rsidRDefault="70C85550" w:rsidP="46132E5F">
      <w:pPr>
        <w:pStyle w:val="Prrafodelista"/>
        <w:numPr>
          <w:ilvl w:val="0"/>
          <w:numId w:val="2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Salario: calculado en base al bruto anual español (incrementando cada año según convenio y exento de impuestos hasta 60.000€ según el artículo 7p de la Ley del IRPF).</w:t>
      </w:r>
    </w:p>
    <w:p w14:paraId="5F6FEA46" w14:textId="2C6A3628" w:rsidR="005B4654" w:rsidRDefault="70C85550" w:rsidP="46132E5F">
      <w:pPr>
        <w:pStyle w:val="Prrafodelista"/>
        <w:numPr>
          <w:ilvl w:val="0"/>
          <w:numId w:val="2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75% dieta durante toda su estancia (actualmente en</w:t>
      </w:r>
      <w:r w:rsidR="0092180C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</w:t>
      </w:r>
      <w:r w:rsidR="006818C0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Costa de Marfil</w:t>
      </w:r>
      <w:r w:rsidR="002A599A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</w:t>
      </w:r>
      <w:r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75% de la dieta completa</w:t>
      </w:r>
      <w:r w:rsidR="0058689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(2</w:t>
      </w:r>
      <w:r w:rsidR="00BD15E6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24</w:t>
      </w:r>
      <w:r w:rsidR="0058689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)</w:t>
      </w:r>
      <w:r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es </w:t>
      </w:r>
      <w:r w:rsidR="003826F2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168</w:t>
      </w:r>
      <w:r w:rsidR="3509779E"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€/día = 30 x </w:t>
      </w:r>
      <w:r w:rsidR="009E6369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176,25</w:t>
      </w:r>
      <w:r w:rsidR="3509779E"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= </w:t>
      </w:r>
      <w:r w:rsidR="009E6369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5.</w:t>
      </w:r>
      <w:r w:rsidR="003826F2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040</w:t>
      </w:r>
      <w:r w:rsidR="0092180C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</w:t>
      </w:r>
      <w:r w:rsidR="3509779E"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€/ </w:t>
      </w:r>
      <w:r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mes aprox.).</w:t>
      </w:r>
    </w:p>
    <w:p w14:paraId="5976D8FF" w14:textId="7E98581F" w:rsidR="005B4654" w:rsidRDefault="70C85550" w:rsidP="46132E5F">
      <w:pPr>
        <w:pStyle w:val="Prrafodelista"/>
        <w:numPr>
          <w:ilvl w:val="0"/>
          <w:numId w:val="2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Vuelo de inicio y fin de proyecto</w:t>
      </w:r>
    </w:p>
    <w:p w14:paraId="4D0A4EFE" w14:textId="25FF8B5C" w:rsidR="005B4654" w:rsidRDefault="70C85550" w:rsidP="46132E5F">
      <w:pPr>
        <w:pStyle w:val="Prrafodelista"/>
        <w:numPr>
          <w:ilvl w:val="0"/>
          <w:numId w:val="2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Vuelo mensual a la ciudad de origen.</w:t>
      </w:r>
    </w:p>
    <w:p w14:paraId="7721517D" w14:textId="68234877" w:rsidR="005B4654" w:rsidRDefault="70C85550" w:rsidP="46132E5F">
      <w:pPr>
        <w:pStyle w:val="Prrafodelista"/>
        <w:numPr>
          <w:ilvl w:val="0"/>
          <w:numId w:val="2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Seguro sanitario y de vida y accidentes para RTA.</w:t>
      </w:r>
    </w:p>
    <w:p w14:paraId="27BC7928" w14:textId="3D2F389C" w:rsidR="005B4654" w:rsidRDefault="005B4654" w:rsidP="344CA739">
      <w:pPr>
        <w:jc w:val="both"/>
        <w:rPr>
          <w:rFonts w:ascii="Gill Sans MT" w:eastAsia="Gill Sans MT" w:hAnsi="Gill Sans MT" w:cs="Gill Sans MT"/>
          <w:color w:val="000000" w:themeColor="text1"/>
          <w:sz w:val="20"/>
          <w:szCs w:val="20"/>
        </w:rPr>
      </w:pPr>
    </w:p>
    <w:p w14:paraId="2539D18B" w14:textId="6284AA15" w:rsidR="005B4654" w:rsidRDefault="70C85550" w:rsidP="46132E5F">
      <w:pPr>
        <w:jc w:val="both"/>
        <w:rPr>
          <w:rFonts w:ascii="Gill Sans MT" w:eastAsia="Gill Sans MT" w:hAnsi="Gill Sans MT" w:cs="Gill Sans MT"/>
          <w:color w:val="1F3864" w:themeColor="accent1" w:themeShade="80"/>
          <w:sz w:val="20"/>
          <w:szCs w:val="20"/>
        </w:rPr>
      </w:pPr>
      <w:r w:rsidRPr="46132E5F">
        <w:rPr>
          <w:rFonts w:ascii="Gill Sans MT" w:eastAsia="Gill Sans MT" w:hAnsi="Gill Sans MT" w:cs="Gill Sans MT"/>
          <w:b/>
          <w:bCs/>
          <w:color w:val="1F3864" w:themeColor="accent1" w:themeShade="80"/>
          <w:sz w:val="20"/>
          <w:szCs w:val="20"/>
          <w:u w:val="single"/>
        </w:rPr>
        <w:t>OPCIÓN B: CON FAMILIA</w:t>
      </w:r>
    </w:p>
    <w:p w14:paraId="3D1F8347" w14:textId="258A9C5E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Salario: calculado en base al bruto anual español (incrementando cada año según convenio y exento de impuestos hasta 60.000€ según el artículo 7p de la Ley del IRPF).</w:t>
      </w:r>
    </w:p>
    <w:p w14:paraId="15BC11D5" w14:textId="7ED72887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75% dieta durante toda su estancia (actualmente en </w:t>
      </w:r>
      <w:r w:rsidR="00111F2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Costa de Marfil</w:t>
      </w:r>
      <w:r w:rsidR="00F72C7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</w:t>
      </w:r>
      <w:r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75% de la dieta completa es</w:t>
      </w:r>
      <w:r w:rsidR="00E85CA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</w:t>
      </w:r>
      <w:r w:rsidR="003826F2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(224)</w:t>
      </w:r>
      <w:r w:rsidR="003826F2"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es </w:t>
      </w:r>
      <w:r w:rsidR="003826F2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168</w:t>
      </w:r>
      <w:r w:rsidR="003826F2"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€/día = 30 x </w:t>
      </w:r>
      <w:r w:rsidR="003826F2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176,25</w:t>
      </w:r>
      <w:r w:rsidR="003826F2"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 = </w:t>
      </w:r>
      <w:r w:rsidR="003826F2">
        <w:rPr>
          <w:rFonts w:ascii="Gill Sans MT" w:eastAsia="Gill Sans MT" w:hAnsi="Gill Sans MT" w:cs="Gill Sans MT"/>
          <w:color w:val="000000" w:themeColor="text1"/>
          <w:sz w:val="24"/>
          <w:szCs w:val="24"/>
        </w:rPr>
        <w:t xml:space="preserve">5.040 </w:t>
      </w:r>
      <w:r w:rsidR="003826F2"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€/ mes aprox.)</w:t>
      </w:r>
      <w:r w:rsidR="009E6369" w:rsidRPr="48FBEF15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.</w:t>
      </w:r>
    </w:p>
    <w:p w14:paraId="5372E83D" w14:textId="1C16F474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Gastos de escolarización de los hijos menores de 18 años (hasta 18.600€ hijo/año).</w:t>
      </w:r>
    </w:p>
    <w:p w14:paraId="17FD19A1" w14:textId="3F74346B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Vuelo de inicio y fin de proyecto para el RTA.</w:t>
      </w:r>
    </w:p>
    <w:p w14:paraId="4D4CF6CE" w14:textId="23A52E4C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Vuelo de inicio y fin de proyecto para cónyuge e hijos</w:t>
      </w:r>
    </w:p>
    <w:p w14:paraId="2BB67827" w14:textId="4D3F3BF9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Vuelo anual a la ciudad de origen.</w:t>
      </w:r>
    </w:p>
    <w:p w14:paraId="60CC5848" w14:textId="4AB274D3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Gastos de mudanza/guardamuebles (incluyendo coche particular).</w:t>
      </w:r>
    </w:p>
    <w:p w14:paraId="77CDCD46" w14:textId="2D067040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Seguro sanitario y el de vida y accidentes para RTA.</w:t>
      </w:r>
    </w:p>
    <w:p w14:paraId="13A33208" w14:textId="31271890" w:rsidR="005B4654" w:rsidRDefault="70C85550" w:rsidP="46132E5F">
      <w:pPr>
        <w:pStyle w:val="Prrafodelista"/>
        <w:numPr>
          <w:ilvl w:val="0"/>
          <w:numId w:val="1"/>
        </w:numPr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r w:rsidRPr="46132E5F">
        <w:rPr>
          <w:rFonts w:ascii="Gill Sans MT" w:eastAsia="Gill Sans MT" w:hAnsi="Gill Sans MT" w:cs="Gill Sans MT"/>
          <w:color w:val="000000" w:themeColor="text1"/>
          <w:sz w:val="24"/>
          <w:szCs w:val="24"/>
        </w:rPr>
        <w:t>Seguro sanitario para cónyuge e hijos.</w:t>
      </w:r>
    </w:p>
    <w:p w14:paraId="6DCA6DC6" w14:textId="0100D80C" w:rsidR="46132E5F" w:rsidRDefault="46132E5F" w:rsidP="46132E5F">
      <w:pPr>
        <w:spacing w:after="0" w:line="240" w:lineRule="auto"/>
        <w:jc w:val="both"/>
        <w:rPr>
          <w:rStyle w:val="normaltextrun"/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</w:pPr>
    </w:p>
    <w:p w14:paraId="66122617" w14:textId="1A0F1089" w:rsidR="79747C18" w:rsidRDefault="79747C18" w:rsidP="46132E5F">
      <w:pPr>
        <w:spacing w:after="0" w:line="240" w:lineRule="auto"/>
        <w:jc w:val="both"/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</w:pPr>
      <w:r w:rsidRPr="46132E5F">
        <w:rPr>
          <w:rStyle w:val="normaltextrun"/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El manual de Twinning (Revisión 2017- actualización 2022) se puede consultar en el sitio web: </w:t>
      </w:r>
    </w:p>
    <w:p w14:paraId="4609880B" w14:textId="3756E562" w:rsidR="79747C18" w:rsidRDefault="79747C18" w:rsidP="46132E5F">
      <w:pPr>
        <w:spacing w:after="0" w:line="240" w:lineRule="auto"/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  <w:hyperlink r:id="rId8">
        <w:r w:rsidRPr="46132E5F">
          <w:rPr>
            <w:rStyle w:val="Hipervnculo"/>
            <w:rFonts w:ascii="Gill Sans MT" w:eastAsia="Gill Sans MT" w:hAnsi="Gill Sans MT" w:cs="Gill Sans MT"/>
            <w:sz w:val="24"/>
            <w:szCs w:val="24"/>
          </w:rPr>
          <w:t>https://neighbourhood-enlargement.ec.europa.eu/system/files/2022-10/Twinning_manual_2017_update_2022_EN.pdf</w:t>
        </w:r>
      </w:hyperlink>
    </w:p>
    <w:p w14:paraId="2BF189BA" w14:textId="2EF4705A" w:rsidR="46132E5F" w:rsidRDefault="46132E5F" w:rsidP="46132E5F">
      <w:pPr>
        <w:spacing w:after="0" w:line="240" w:lineRule="auto"/>
        <w:jc w:val="both"/>
        <w:rPr>
          <w:rFonts w:ascii="Gill Sans MT" w:eastAsia="Gill Sans MT" w:hAnsi="Gill Sans MT" w:cs="Gill Sans MT"/>
          <w:color w:val="000000" w:themeColor="text1"/>
          <w:sz w:val="24"/>
          <w:szCs w:val="24"/>
        </w:rPr>
      </w:pPr>
    </w:p>
    <w:p w14:paraId="13AF8070" w14:textId="14A6D1E7" w:rsidR="79747C18" w:rsidRDefault="79747C18" w:rsidP="46132E5F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hyperlink r:id="rId9">
        <w:r w:rsidRPr="46132E5F">
          <w:rPr>
            <w:rStyle w:val="Hipervnculo"/>
            <w:rFonts w:ascii="Gill Sans MT" w:eastAsia="Gill Sans MT" w:hAnsi="Gill Sans MT" w:cs="Gill Sans MT"/>
            <w:sz w:val="24"/>
            <w:szCs w:val="24"/>
          </w:rPr>
          <w:t>https://ec.europa.eu/neighbourhood-enlargement/tenders/twinning_en  </w:t>
        </w:r>
      </w:hyperlink>
    </w:p>
    <w:p w14:paraId="26AF9687" w14:textId="4E877C3D" w:rsidR="79747C18" w:rsidRDefault="79747C18" w:rsidP="46132E5F">
      <w:pPr>
        <w:spacing w:after="0" w:line="240" w:lineRule="auto"/>
        <w:jc w:val="both"/>
        <w:rPr>
          <w:rFonts w:ascii="Gill Sans MT" w:eastAsia="Gill Sans MT" w:hAnsi="Gill Sans MT" w:cs="Gill Sans MT"/>
          <w:color w:val="000000" w:themeColor="text1"/>
          <w:sz w:val="19"/>
          <w:szCs w:val="19"/>
        </w:rPr>
      </w:pPr>
      <w:r w:rsidRPr="46132E5F">
        <w:rPr>
          <w:rStyle w:val="eop"/>
          <w:rFonts w:ascii="Gill Sans MT" w:eastAsia="Gill Sans MT" w:hAnsi="Gill Sans MT" w:cs="Gill Sans MT"/>
          <w:color w:val="000000" w:themeColor="text1"/>
          <w:sz w:val="19"/>
          <w:szCs w:val="19"/>
        </w:rPr>
        <w:t> </w:t>
      </w:r>
    </w:p>
    <w:p w14:paraId="2EC19AE3" w14:textId="239C22B7" w:rsidR="79747C18" w:rsidRDefault="79747C18" w:rsidP="46132E5F">
      <w:pPr>
        <w:spacing w:after="0" w:line="240" w:lineRule="auto"/>
        <w:jc w:val="both"/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</w:pPr>
      <w:r w:rsidRPr="46132E5F">
        <w:rPr>
          <w:rStyle w:val="normaltextrun"/>
          <w:rFonts w:ascii="Gill Sans MT" w:eastAsia="Gill Sans MT" w:hAnsi="Gill Sans MT" w:cs="Gill Sans MT"/>
          <w:b/>
          <w:bCs/>
          <w:color w:val="000000" w:themeColor="text1"/>
          <w:sz w:val="24"/>
          <w:szCs w:val="24"/>
        </w:rPr>
        <w:t>La dieta de la Comisión Europea se puede consultar en el sitio web: </w:t>
      </w:r>
    </w:p>
    <w:p w14:paraId="4DD62A0F" w14:textId="79C8B4FA" w:rsidR="79747C18" w:rsidRPr="00515532" w:rsidRDefault="79747C18" w:rsidP="46132E5F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hyperlink r:id="rId10">
        <w:r w:rsidRPr="00515532">
          <w:rPr>
            <w:rStyle w:val="Hipervnculo"/>
            <w:rFonts w:ascii="Calibri" w:eastAsia="Calibri" w:hAnsi="Calibri" w:cs="Calibri"/>
            <w:color w:val="0563C1"/>
            <w:lang w:val="en-US"/>
          </w:rPr>
          <w:t>Per diem rates - 25 July 2022.pdf (europa.eu)</w:t>
        </w:r>
      </w:hyperlink>
      <w:r w:rsidRPr="00515532">
        <w:rPr>
          <w:rStyle w:val="eop"/>
          <w:rFonts w:ascii="Calibri" w:eastAsia="Calibri" w:hAnsi="Calibri" w:cs="Calibri"/>
          <w:color w:val="000000" w:themeColor="text1"/>
          <w:lang w:val="en-US"/>
        </w:rPr>
        <w:t> </w:t>
      </w:r>
    </w:p>
    <w:p w14:paraId="3A609423" w14:textId="33B194D7" w:rsidR="46132E5F" w:rsidRPr="00515532" w:rsidRDefault="46132E5F" w:rsidP="46132E5F">
      <w:pPr>
        <w:rPr>
          <w:rFonts w:ascii="Calibri" w:eastAsia="Calibri" w:hAnsi="Calibri" w:cs="Calibri"/>
          <w:lang w:val="en-US"/>
        </w:rPr>
      </w:pPr>
    </w:p>
    <w:sectPr w:rsidR="46132E5F" w:rsidRPr="005155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F0B6"/>
    <w:multiLevelType w:val="hybridMultilevel"/>
    <w:tmpl w:val="4ADC6406"/>
    <w:lvl w:ilvl="0" w:tplc="C2640B7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BE3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23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0F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B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80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8B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3D37"/>
    <w:multiLevelType w:val="hybridMultilevel"/>
    <w:tmpl w:val="38FEFBAC"/>
    <w:lvl w:ilvl="0" w:tplc="921497C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3C6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02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EA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C3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EB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6B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6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02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FC89F"/>
    <w:multiLevelType w:val="hybridMultilevel"/>
    <w:tmpl w:val="C36236BE"/>
    <w:lvl w:ilvl="0" w:tplc="7A6E3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6B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89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41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85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6D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0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3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46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3F4E8"/>
    <w:multiLevelType w:val="hybridMultilevel"/>
    <w:tmpl w:val="3404EE1A"/>
    <w:lvl w:ilvl="0" w:tplc="E11A60D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FE4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A6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A7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20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6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1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8E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E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32E1"/>
    <w:multiLevelType w:val="hybridMultilevel"/>
    <w:tmpl w:val="02E09D02"/>
    <w:lvl w:ilvl="0" w:tplc="FA66A50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BE0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01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ED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8E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A2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40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1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06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5E77"/>
    <w:multiLevelType w:val="hybridMultilevel"/>
    <w:tmpl w:val="4524D7D6"/>
    <w:lvl w:ilvl="0" w:tplc="BD60C5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D2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A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07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09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E4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EF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22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8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C0E77"/>
    <w:multiLevelType w:val="hybridMultilevel"/>
    <w:tmpl w:val="28268B0C"/>
    <w:lvl w:ilvl="0" w:tplc="E45AF29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000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28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C1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4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CC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CA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6C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6F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DB0E"/>
    <w:multiLevelType w:val="hybridMultilevel"/>
    <w:tmpl w:val="4D1805AE"/>
    <w:lvl w:ilvl="0" w:tplc="2870A2B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C8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8E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02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0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8F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A6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8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2A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A52A0"/>
    <w:multiLevelType w:val="hybridMultilevel"/>
    <w:tmpl w:val="4184DFCE"/>
    <w:lvl w:ilvl="0" w:tplc="A224DE4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D68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0C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0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8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4E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CD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CB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6B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5C165"/>
    <w:multiLevelType w:val="hybridMultilevel"/>
    <w:tmpl w:val="BC6647FC"/>
    <w:lvl w:ilvl="0" w:tplc="F9606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60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86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23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4D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C0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C6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A9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AE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68614"/>
    <w:multiLevelType w:val="hybridMultilevel"/>
    <w:tmpl w:val="083C1FF6"/>
    <w:lvl w:ilvl="0" w:tplc="6F1CEE5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6E7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83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F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4F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09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C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89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CF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C3B09"/>
    <w:multiLevelType w:val="hybridMultilevel"/>
    <w:tmpl w:val="B1D4ABD2"/>
    <w:lvl w:ilvl="0" w:tplc="2F80B16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62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42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4E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AC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80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E1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4D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EF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8646"/>
    <w:multiLevelType w:val="hybridMultilevel"/>
    <w:tmpl w:val="968AA2F8"/>
    <w:lvl w:ilvl="0" w:tplc="98268B7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EE1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E2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CA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2A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2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2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89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C6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1CA6"/>
    <w:multiLevelType w:val="hybridMultilevel"/>
    <w:tmpl w:val="4A2E4628"/>
    <w:lvl w:ilvl="0" w:tplc="D7185FD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08D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8D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CC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4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08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E3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A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1102B"/>
    <w:multiLevelType w:val="hybridMultilevel"/>
    <w:tmpl w:val="D8364A48"/>
    <w:lvl w:ilvl="0" w:tplc="1CB6BA3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CCF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4D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2E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62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A4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3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69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67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EE5BD"/>
    <w:multiLevelType w:val="hybridMultilevel"/>
    <w:tmpl w:val="9FF05898"/>
    <w:lvl w:ilvl="0" w:tplc="349CA50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765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4B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A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48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6F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AF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3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26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1897">
    <w:abstractNumId w:val="2"/>
  </w:num>
  <w:num w:numId="2" w16cid:durableId="313880062">
    <w:abstractNumId w:val="9"/>
  </w:num>
  <w:num w:numId="3" w16cid:durableId="1118374527">
    <w:abstractNumId w:val="11"/>
  </w:num>
  <w:num w:numId="4" w16cid:durableId="991912726">
    <w:abstractNumId w:val="7"/>
  </w:num>
  <w:num w:numId="5" w16cid:durableId="346030663">
    <w:abstractNumId w:val="8"/>
  </w:num>
  <w:num w:numId="6" w16cid:durableId="1979256979">
    <w:abstractNumId w:val="6"/>
  </w:num>
  <w:num w:numId="7" w16cid:durableId="1516189095">
    <w:abstractNumId w:val="3"/>
  </w:num>
  <w:num w:numId="8" w16cid:durableId="75129168">
    <w:abstractNumId w:val="4"/>
  </w:num>
  <w:num w:numId="9" w16cid:durableId="1740135485">
    <w:abstractNumId w:val="15"/>
  </w:num>
  <w:num w:numId="10" w16cid:durableId="2102019487">
    <w:abstractNumId w:val="10"/>
  </w:num>
  <w:num w:numId="11" w16cid:durableId="528301664">
    <w:abstractNumId w:val="12"/>
  </w:num>
  <w:num w:numId="12" w16cid:durableId="431051053">
    <w:abstractNumId w:val="1"/>
  </w:num>
  <w:num w:numId="13" w16cid:durableId="1971935169">
    <w:abstractNumId w:val="13"/>
  </w:num>
  <w:num w:numId="14" w16cid:durableId="1977182140">
    <w:abstractNumId w:val="0"/>
  </w:num>
  <w:num w:numId="15" w16cid:durableId="2071877117">
    <w:abstractNumId w:val="5"/>
  </w:num>
  <w:num w:numId="16" w16cid:durableId="1516461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4370F0"/>
    <w:rsid w:val="000D66B8"/>
    <w:rsid w:val="00111F25"/>
    <w:rsid w:val="001B32FF"/>
    <w:rsid w:val="00236CE4"/>
    <w:rsid w:val="002A599A"/>
    <w:rsid w:val="003826F2"/>
    <w:rsid w:val="003C3015"/>
    <w:rsid w:val="00477C2A"/>
    <w:rsid w:val="00515532"/>
    <w:rsid w:val="0058689F"/>
    <w:rsid w:val="005B4654"/>
    <w:rsid w:val="0061420C"/>
    <w:rsid w:val="006818C0"/>
    <w:rsid w:val="00713372"/>
    <w:rsid w:val="00892170"/>
    <w:rsid w:val="0092180C"/>
    <w:rsid w:val="009E6369"/>
    <w:rsid w:val="00B364B4"/>
    <w:rsid w:val="00B453D8"/>
    <w:rsid w:val="00B64F3D"/>
    <w:rsid w:val="00BD15E6"/>
    <w:rsid w:val="00D36800"/>
    <w:rsid w:val="00D615E8"/>
    <w:rsid w:val="00DE0FC2"/>
    <w:rsid w:val="00E85CAF"/>
    <w:rsid w:val="00F72C7F"/>
    <w:rsid w:val="02B4ED97"/>
    <w:rsid w:val="0384617B"/>
    <w:rsid w:val="0529552D"/>
    <w:rsid w:val="0B71C9B6"/>
    <w:rsid w:val="1240363A"/>
    <w:rsid w:val="17D58876"/>
    <w:rsid w:val="19DA7AA0"/>
    <w:rsid w:val="1F166E0A"/>
    <w:rsid w:val="21F32FAA"/>
    <w:rsid w:val="23BE444C"/>
    <w:rsid w:val="24010159"/>
    <w:rsid w:val="29508E72"/>
    <w:rsid w:val="2A4370F0"/>
    <w:rsid w:val="2B91178F"/>
    <w:rsid w:val="344CA739"/>
    <w:rsid w:val="3509779E"/>
    <w:rsid w:val="35DCF930"/>
    <w:rsid w:val="37938A94"/>
    <w:rsid w:val="3DCC5015"/>
    <w:rsid w:val="40726C06"/>
    <w:rsid w:val="40B3590D"/>
    <w:rsid w:val="410D4474"/>
    <w:rsid w:val="43D3918F"/>
    <w:rsid w:val="46132E5F"/>
    <w:rsid w:val="47AEFEC0"/>
    <w:rsid w:val="481DDD1B"/>
    <w:rsid w:val="4831712D"/>
    <w:rsid w:val="48FBEF15"/>
    <w:rsid w:val="4A44C032"/>
    <w:rsid w:val="4CB313D4"/>
    <w:rsid w:val="5293C830"/>
    <w:rsid w:val="541C37E5"/>
    <w:rsid w:val="5E28E80D"/>
    <w:rsid w:val="60063E62"/>
    <w:rsid w:val="66CC5B70"/>
    <w:rsid w:val="67B7EFCD"/>
    <w:rsid w:val="68715222"/>
    <w:rsid w:val="68904B26"/>
    <w:rsid w:val="6DCF2875"/>
    <w:rsid w:val="70C85550"/>
    <w:rsid w:val="7555A3EC"/>
    <w:rsid w:val="7761E540"/>
    <w:rsid w:val="79747C18"/>
    <w:rsid w:val="7FF6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70F0"/>
  <w15:chartTrackingRefBased/>
  <w15:docId w15:val="{906852F2-819D-4863-A7A2-BEEB2F7A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uiPriority w:val="1"/>
    <w:rsid w:val="46132E5F"/>
  </w:style>
  <w:style w:type="character" w:customStyle="1" w:styleId="eop">
    <w:name w:val="eop"/>
    <w:basedOn w:val="Fuentedeprrafopredeter"/>
    <w:uiPriority w:val="1"/>
    <w:rsid w:val="46132E5F"/>
  </w:style>
  <w:style w:type="paragraph" w:customStyle="1" w:styleId="paragraph">
    <w:name w:val="paragraph"/>
    <w:basedOn w:val="Normal"/>
    <w:uiPriority w:val="1"/>
    <w:rsid w:val="46132E5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77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ighbourhood-enlargement.ec.europa.eu/system/files/2022-10/Twinning_manual_2017_update_2022_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nternational-partnerships.ec.europa.eu/system/files/2022-09/Per%20diem%20rates%20-%2025%20July%20202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c.europa.eu/neighbourhood-enlargement/tenders/twinning_en%E2%80%AF%E2%80%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AC9F3E4CB3D04CB1EEC6DCC595FA08" ma:contentTypeVersion="34" ma:contentTypeDescription="Crear nuevo documento." ma:contentTypeScope="" ma:versionID="cfd4f53c7b39aea58dafe9ffd07f7caf">
  <xsd:schema xmlns:xsd="http://www.w3.org/2001/XMLSchema" xmlns:xs="http://www.w3.org/2001/XMLSchema" xmlns:p="http://schemas.microsoft.com/office/2006/metadata/properties" xmlns:ns2="46d0e87c-e24d-4282-8f09-0b9d21a69f75" xmlns:ns3="5d43fe7d-a19b-4903-abeb-dbf0d0ad8fe0" xmlns:ns4="824b0e0e-68f8-42e2-b760-639bbf649137" targetNamespace="http://schemas.microsoft.com/office/2006/metadata/properties" ma:root="true" ma:fieldsID="9bc8b444322a4fffaa5733e8cbd2d893" ns2:_="" ns3:_="" ns4:_="">
    <xsd:import namespace="46d0e87c-e24d-4282-8f09-0b9d21a69f75"/>
    <xsd:import namespace="5d43fe7d-a19b-4903-abeb-dbf0d0ad8fe0"/>
    <xsd:import namespace="824b0e0e-68f8-42e2-b760-639bbf64913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hee8b961e93f49c9ba2182752861b43e" minOccurs="0"/>
                <xsd:element ref="ns4:SharedWithUsers" minOccurs="0"/>
                <xsd:element ref="ns4:SharedWithDetails" minOccurs="0"/>
                <xsd:element ref="ns3:e8eb15ca95a444d0ae67f8a0aa68a7ce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FechayHora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0e87c-e24d-4282-8f09-0b9d21a69f7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3f15b2d-1e6f-4ebe-883d-88d46a8d7cf2}" ma:internalName="TaxCatchAll" ma:showField="CatchAllData" ma:web="46d0e87c-e24d-4282-8f09-0b9d21a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3fe7d-a19b-4903-abeb-dbf0d0ad8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hee8b961e93f49c9ba2182752861b43e" ma:index="16" nillable="true" ma:taxonomy="true" ma:internalName="hee8b961e93f49c9ba2182752861b43e" ma:taxonomyFieldName="palabrasclaveempresa" ma:displayName="Palabras clave de FIIAPP" ma:readOnly="false" ma:default="" ma:fieldId="{1ee8b961-e93f-49c9-ba21-82752861b43e}" ma:taxonomyMulti="true" ma:sspId="0f4afbdf-b431-4932-b70a-70c1915ab58e" ma:termSetId="ef1fcd61-6b57-4f54-bb1f-b9c1166f37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eb15ca95a444d0ae67f8a0aa68a7ce" ma:index="20" nillable="true" ma:taxonomy="true" ma:internalName="e8eb15ca95a444d0ae67f8a0aa68a7ce" ma:taxonomyFieldName="PalabrasClaveSitio" ma:displayName="Palabras clave de sitio" ma:readOnly="false" ma:default="" ma:fieldId="{e8eb15ca-95a4-44d0-ae67-f8a0aa68a7ce}" ma:taxonomyMulti="true" ma:sspId="0f4afbdf-b431-4932-b70a-70c1915ab58e" ma:termSetId="e2a23aa3-2287-48f3-8393-177db2e212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echayHora" ma:index="25" nillable="true" ma:displayName="Fecha y Hora" ma:format="DateOnly" ma:internalName="FechayHora">
      <xsd:simpleType>
        <xsd:restriction base="dms:DateTim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0f4afbdf-b431-4932-b70a-70c1915ab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b0e0e-68f8-42e2-b760-639bbf649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d0e87c-e24d-4282-8f09-0b9d21a69f75" xsi:nil="true"/>
    <hee8b961e93f49c9ba2182752861b43e xmlns="5d43fe7d-a19b-4903-abeb-dbf0d0ad8fe0">
      <Terms xmlns="http://schemas.microsoft.com/office/infopath/2007/PartnerControls"/>
    </hee8b961e93f49c9ba2182752861b43e>
    <FechayHora xmlns="5d43fe7d-a19b-4903-abeb-dbf0d0ad8fe0" xsi:nil="true"/>
    <e8eb15ca95a444d0ae67f8a0aa68a7ce xmlns="5d43fe7d-a19b-4903-abeb-dbf0d0ad8fe0">
      <Terms xmlns="http://schemas.microsoft.com/office/infopath/2007/PartnerControls"/>
    </e8eb15ca95a444d0ae67f8a0aa68a7ce>
    <lcf76f155ced4ddcb4097134ff3c332f xmlns="5d43fe7d-a19b-4903-abeb-dbf0d0ad8fe0">
      <Terms xmlns="http://schemas.microsoft.com/office/infopath/2007/PartnerControls"/>
    </lcf76f155ced4ddcb4097134ff3c332f>
    <_Flow_SignoffStatus xmlns="5d43fe7d-a19b-4903-abeb-dbf0d0ad8fe0" xsi:nil="true"/>
  </documentManagement>
</p:properties>
</file>

<file path=customXml/itemProps1.xml><?xml version="1.0" encoding="utf-8"?>
<ds:datastoreItem xmlns:ds="http://schemas.openxmlformats.org/officeDocument/2006/customXml" ds:itemID="{0091F3BD-0939-4DCF-BBB3-7A4CF7743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0e87c-e24d-4282-8f09-0b9d21a69f75"/>
    <ds:schemaRef ds:uri="5d43fe7d-a19b-4903-abeb-dbf0d0ad8fe0"/>
    <ds:schemaRef ds:uri="824b0e0e-68f8-42e2-b760-639bbf649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7A7D0-2E7F-448A-81E9-564416FB2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4D877-5021-4A09-9B93-6991B928E596}">
  <ds:schemaRefs>
    <ds:schemaRef ds:uri="http://schemas.microsoft.com/office/2006/metadata/properties"/>
    <ds:schemaRef ds:uri="http://schemas.microsoft.com/office/infopath/2007/PartnerControls"/>
    <ds:schemaRef ds:uri="46d0e87c-e24d-4282-8f09-0b9d21a69f75"/>
    <ds:schemaRef ds:uri="5d43fe7d-a19b-4903-abeb-dbf0d0ad8f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De Lossada I Gallart - FIIAPP</dc:creator>
  <cp:keywords/>
  <dc:description/>
  <cp:lastModifiedBy>Nicolas Murillo Faucher - FIIAPP</cp:lastModifiedBy>
  <cp:revision>6</cp:revision>
  <dcterms:created xsi:type="dcterms:W3CDTF">2025-05-22T08:14:00Z</dcterms:created>
  <dcterms:modified xsi:type="dcterms:W3CDTF">2025-05-22T11:18:00Z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0x01010027AC9F3E4CB3D04CB1EEC6DCC595FA08</vt:lpwstr>
  </property>
  <property fmtid="{D5CDD505-2E9C-101B-9397-08002B2CF9AE}" pid="3" name="PalabrasClaveSitio">
    <vt:lpwstr/>
  </property>
  <property fmtid="{D5CDD505-2E9C-101B-9397-08002B2CF9AE}" pid="4" name="palabrasclaveempresa">
    <vt:lpwstr/>
  </property>
  <property fmtid="{D5CDD505-2E9C-101B-9397-08002B2CF9AE}" pid="5" name="MediaServiceImageTags">
    <vt:lpwstr/>
  </property>
</Properties>
</file>